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78" w:rsidRPr="00C34178" w:rsidRDefault="00C34178" w:rsidP="003B3AA9">
      <w:pPr>
        <w:pStyle w:val="Heading1"/>
        <w:jc w:val="right"/>
        <w:rPr>
          <w:rFonts w:ascii="Arial" w:hAnsi="Arial" w:cs="Arial"/>
          <w:b w:val="0"/>
          <w:bCs w:val="0"/>
          <w:sz w:val="16"/>
          <w:szCs w:val="16"/>
          <w:u w:val="none"/>
          <w:rtl/>
        </w:rPr>
      </w:pPr>
      <w:bookmarkStart w:id="0" w:name="_GoBack"/>
      <w:bookmarkEnd w:id="0"/>
      <w:r>
        <w:rPr>
          <w:rFonts w:ascii="Arial" w:hAnsi="Arial" w:cs="Arial" w:hint="cs"/>
          <w:b w:val="0"/>
          <w:bCs w:val="0"/>
          <w:sz w:val="16"/>
          <w:szCs w:val="16"/>
          <w:u w:val="none"/>
          <w:rtl/>
        </w:rPr>
        <w:t>_____________________________________________________________________________________________________________________</w:t>
      </w:r>
    </w:p>
    <w:p w:rsidR="00780EB5" w:rsidRPr="001859BE" w:rsidRDefault="00780EB5" w:rsidP="00EF2BD8">
      <w:pPr>
        <w:pStyle w:val="Heading1"/>
        <w:jc w:val="right"/>
        <w:rPr>
          <w:rFonts w:ascii="Arial" w:hAnsi="Arial" w:cs="Arial"/>
          <w:sz w:val="24"/>
          <w:szCs w:val="24"/>
          <w:u w:val="none"/>
          <w:rtl/>
        </w:rPr>
      </w:pPr>
      <w:r w:rsidRPr="001859BE">
        <w:rPr>
          <w:rFonts w:ascii="Arial" w:hAnsi="Arial" w:cs="Arial"/>
          <w:b w:val="0"/>
          <w:bCs w:val="0"/>
          <w:sz w:val="24"/>
          <w:szCs w:val="24"/>
          <w:u w:val="none"/>
          <w:rtl/>
        </w:rPr>
        <w:t xml:space="preserve">ירושלים, </w:t>
      </w:r>
      <w:r w:rsidR="00EF2BD8">
        <w:rPr>
          <w:rFonts w:ascii="Arial" w:hAnsi="Arial" w:cs="Arial" w:hint="cs"/>
          <w:b w:val="0"/>
          <w:bCs w:val="0"/>
          <w:sz w:val="24"/>
          <w:szCs w:val="24"/>
          <w:u w:val="none"/>
          <w:rtl/>
        </w:rPr>
        <w:t>ב'</w:t>
      </w:r>
      <w:r w:rsidR="000124A3" w:rsidRPr="001859BE">
        <w:rPr>
          <w:rFonts w:ascii="Arial" w:hAnsi="Arial" w:cs="Arial" w:hint="cs"/>
          <w:b w:val="0"/>
          <w:bCs w:val="0"/>
          <w:sz w:val="24"/>
          <w:szCs w:val="24"/>
          <w:u w:val="none"/>
          <w:rtl/>
        </w:rPr>
        <w:t xml:space="preserve"> </w:t>
      </w:r>
      <w:r w:rsidR="001B4806" w:rsidRPr="001859BE">
        <w:rPr>
          <w:rFonts w:ascii="Arial" w:hAnsi="Arial" w:cs="Arial" w:hint="cs"/>
          <w:b w:val="0"/>
          <w:bCs w:val="0"/>
          <w:sz w:val="24"/>
          <w:szCs w:val="24"/>
          <w:u w:val="none"/>
          <w:rtl/>
        </w:rPr>
        <w:t>ב</w:t>
      </w:r>
      <w:r w:rsidR="00EF2BD8">
        <w:rPr>
          <w:rFonts w:ascii="Arial" w:hAnsi="Arial" w:cs="Arial" w:hint="cs"/>
          <w:b w:val="0"/>
          <w:bCs w:val="0"/>
          <w:sz w:val="24"/>
          <w:szCs w:val="24"/>
          <w:u w:val="none"/>
          <w:rtl/>
        </w:rPr>
        <w:t>ניסן</w:t>
      </w:r>
      <w:r w:rsidR="000124A3" w:rsidRPr="001859BE">
        <w:rPr>
          <w:rFonts w:ascii="Arial" w:hAnsi="Arial" w:cs="Arial" w:hint="cs"/>
          <w:b w:val="0"/>
          <w:bCs w:val="0"/>
          <w:sz w:val="24"/>
          <w:szCs w:val="24"/>
          <w:u w:val="none"/>
          <w:rtl/>
        </w:rPr>
        <w:t xml:space="preserve"> תשע"</w:t>
      </w:r>
      <w:r w:rsidR="002A3B2A">
        <w:rPr>
          <w:rFonts w:ascii="Arial" w:hAnsi="Arial" w:cs="Arial" w:hint="cs"/>
          <w:b w:val="0"/>
          <w:bCs w:val="0"/>
          <w:sz w:val="24"/>
          <w:szCs w:val="24"/>
          <w:u w:val="none"/>
          <w:rtl/>
        </w:rPr>
        <w:t>ט</w:t>
      </w:r>
    </w:p>
    <w:p w:rsidR="0044300E" w:rsidRPr="001859BE" w:rsidRDefault="00EF2BD8" w:rsidP="002A3B2A">
      <w:pPr>
        <w:jc w:val="righ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7</w:t>
      </w:r>
      <w:r w:rsidR="00F37B76" w:rsidRPr="001859BE">
        <w:rPr>
          <w:rFonts w:ascii="Arial" w:hAnsi="Arial" w:cs="Arial" w:hint="cs"/>
          <w:rtl/>
        </w:rPr>
        <w:t xml:space="preserve"> ב</w:t>
      </w:r>
      <w:r w:rsidR="002A3B2A">
        <w:rPr>
          <w:rFonts w:ascii="Arial" w:hAnsi="Arial" w:cs="Arial" w:hint="cs"/>
          <w:rtl/>
        </w:rPr>
        <w:t xml:space="preserve">אפריל </w:t>
      </w:r>
      <w:r w:rsidR="00F37B76" w:rsidRPr="001859BE">
        <w:rPr>
          <w:rFonts w:ascii="Arial" w:hAnsi="Arial" w:cs="Arial" w:hint="cs"/>
          <w:rtl/>
        </w:rPr>
        <w:t>201</w:t>
      </w:r>
      <w:r w:rsidR="002A3B2A">
        <w:rPr>
          <w:rFonts w:ascii="Arial" w:hAnsi="Arial" w:cs="Arial" w:hint="cs"/>
          <w:rtl/>
        </w:rPr>
        <w:t>9</w:t>
      </w:r>
    </w:p>
    <w:p w:rsidR="004458AB" w:rsidRDefault="00055F5A" w:rsidP="00C4462A">
      <w:pPr>
        <w:jc w:val="right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rtl/>
        </w:rPr>
        <w:t>110/2019</w:t>
      </w:r>
    </w:p>
    <w:p w:rsidR="00E57A32" w:rsidRPr="003C174D" w:rsidRDefault="00E72DA3" w:rsidP="00FF3A1C">
      <w:pPr>
        <w:pStyle w:val="Heading1"/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</w:pPr>
      <w:bookmarkStart w:id="1" w:name="OLE_LINK5"/>
      <w:bookmarkStart w:id="2" w:name="OLE_LINK6"/>
      <w:r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>השקעות ישירות של</w:t>
      </w:r>
      <w:r w:rsidR="00E57A32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 xml:space="preserve"> </w:t>
      </w:r>
      <w:r w:rsidR="0044300E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>ישראל</w:t>
      </w:r>
      <w:r w:rsidR="003C3BDF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 xml:space="preserve"> </w:t>
      </w:r>
      <w:r w:rsidR="00E57A32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>ב</w:t>
      </w:r>
      <w:r w:rsidR="003C3BDF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>חו"ל</w:t>
      </w:r>
      <w:r w:rsidR="000E772C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 xml:space="preserve"> ושל</w:t>
      </w:r>
      <w:r w:rsidR="00E57A32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 xml:space="preserve"> חו"ל בישראל,</w:t>
      </w:r>
    </w:p>
    <w:bookmarkEnd w:id="1"/>
    <w:bookmarkEnd w:id="2"/>
    <w:p w:rsidR="00780EB5" w:rsidRPr="003C174D" w:rsidRDefault="00761D29" w:rsidP="00CC485D">
      <w:pPr>
        <w:pStyle w:val="Heading1"/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</w:pPr>
      <w:r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 xml:space="preserve">לפי </w:t>
      </w:r>
      <w:r w:rsidR="002D2529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>ענפי כלכלה ולפי מדינות</w:t>
      </w:r>
      <w:r w:rsidR="001B4E90" w:rsidRPr="003C174D">
        <w:rPr>
          <w:rStyle w:val="FootnoteReference"/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footnoteReference w:id="1"/>
      </w:r>
      <w:r w:rsidR="003C3BDF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 xml:space="preserve"> -</w:t>
      </w:r>
      <w:r w:rsidR="0044300E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 xml:space="preserve"> </w:t>
      </w:r>
      <w:r w:rsidR="00D01DBF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>201</w:t>
      </w:r>
      <w:r w:rsidR="00CC485D" w:rsidRPr="003C174D">
        <w:rPr>
          <w:rFonts w:asciiTheme="minorBidi" w:hAnsiTheme="minorBidi" w:cstheme="minorBidi" w:hint="cs"/>
          <w:color w:val="365F91" w:themeColor="accent1" w:themeShade="BF"/>
          <w:sz w:val="28"/>
          <w:szCs w:val="28"/>
          <w:u w:val="none"/>
          <w:rtl/>
        </w:rPr>
        <w:t>7</w:t>
      </w:r>
      <w:r w:rsidR="0044300E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>-</w:t>
      </w:r>
      <w:r w:rsidR="00D01DBF" w:rsidRPr="003C174D">
        <w:rPr>
          <w:rFonts w:asciiTheme="minorBidi" w:hAnsiTheme="minorBidi" w:cstheme="minorBidi"/>
          <w:color w:val="365F91" w:themeColor="accent1" w:themeShade="BF"/>
          <w:sz w:val="28"/>
          <w:szCs w:val="28"/>
          <w:u w:val="none"/>
          <w:rtl/>
        </w:rPr>
        <w:t>201</w:t>
      </w:r>
      <w:r w:rsidR="00CC485D" w:rsidRPr="003C174D">
        <w:rPr>
          <w:rFonts w:asciiTheme="minorBidi" w:hAnsiTheme="minorBidi" w:cstheme="minorBidi" w:hint="cs"/>
          <w:color w:val="365F91" w:themeColor="accent1" w:themeShade="BF"/>
          <w:sz w:val="28"/>
          <w:szCs w:val="28"/>
          <w:u w:val="none"/>
          <w:rtl/>
        </w:rPr>
        <w:t>5</w:t>
      </w:r>
    </w:p>
    <w:p w:rsidR="00767CE6" w:rsidRPr="003518F9" w:rsidRDefault="0044300E" w:rsidP="00D83CDA">
      <w:pPr>
        <w:pStyle w:val="Heading1"/>
        <w:bidi w:val="0"/>
        <w:rPr>
          <w:rFonts w:asciiTheme="minorBidi" w:hAnsiTheme="minorBidi" w:cstheme="minorBidi"/>
          <w:color w:val="365F91" w:themeColor="accent1" w:themeShade="BF"/>
          <w:u w:val="none"/>
        </w:rPr>
      </w:pPr>
      <w:bookmarkStart w:id="3" w:name="OLE_LINK7"/>
      <w:bookmarkStart w:id="4" w:name="OLE_LINK8"/>
      <w:r w:rsidRPr="003518F9">
        <w:rPr>
          <w:rFonts w:asciiTheme="minorBidi" w:hAnsiTheme="minorBidi" w:cstheme="minorBidi"/>
          <w:color w:val="365F91" w:themeColor="accent1" w:themeShade="BF"/>
          <w:u w:val="none"/>
        </w:rPr>
        <w:t xml:space="preserve">Foreign Direct Investment </w:t>
      </w:r>
      <w:r w:rsidR="00767CE6" w:rsidRPr="003518F9">
        <w:rPr>
          <w:rFonts w:asciiTheme="minorBidi" w:hAnsiTheme="minorBidi" w:cstheme="minorBidi"/>
          <w:color w:val="365F91" w:themeColor="accent1" w:themeShade="BF"/>
          <w:u w:val="none"/>
        </w:rPr>
        <w:t>in</w:t>
      </w:r>
      <w:r w:rsidR="00780EB5" w:rsidRPr="003518F9">
        <w:rPr>
          <w:rFonts w:asciiTheme="minorBidi" w:hAnsiTheme="minorBidi" w:cstheme="minorBidi"/>
          <w:color w:val="365F91" w:themeColor="accent1" w:themeShade="BF"/>
          <w:u w:val="none"/>
        </w:rPr>
        <w:t xml:space="preserve"> Israel</w:t>
      </w:r>
      <w:r w:rsidR="00767CE6" w:rsidRPr="003518F9">
        <w:rPr>
          <w:rFonts w:asciiTheme="minorBidi" w:hAnsiTheme="minorBidi" w:cstheme="minorBidi"/>
          <w:color w:val="365F91" w:themeColor="accent1" w:themeShade="BF"/>
          <w:u w:val="none"/>
        </w:rPr>
        <w:t xml:space="preserve"> and </w:t>
      </w:r>
      <w:r w:rsidR="000E772C" w:rsidRPr="003518F9">
        <w:rPr>
          <w:rFonts w:asciiTheme="minorBidi" w:hAnsiTheme="minorBidi" w:cstheme="minorBidi"/>
          <w:color w:val="365F91" w:themeColor="accent1" w:themeShade="BF"/>
          <w:u w:val="none"/>
        </w:rPr>
        <w:t xml:space="preserve">Direct </w:t>
      </w:r>
      <w:r w:rsidR="00767CE6" w:rsidRPr="003518F9">
        <w:rPr>
          <w:rFonts w:asciiTheme="minorBidi" w:hAnsiTheme="minorBidi" w:cstheme="minorBidi"/>
          <w:color w:val="365F91" w:themeColor="accent1" w:themeShade="BF"/>
          <w:u w:val="none"/>
        </w:rPr>
        <w:t xml:space="preserve">Investment </w:t>
      </w:r>
      <w:r w:rsidR="00D83CDA" w:rsidRPr="003518F9">
        <w:rPr>
          <w:rFonts w:asciiTheme="minorBidi" w:hAnsiTheme="minorBidi" w:cstheme="minorBidi"/>
          <w:color w:val="365F91" w:themeColor="accent1" w:themeShade="BF"/>
          <w:u w:val="none"/>
        </w:rPr>
        <w:t>A</w:t>
      </w:r>
      <w:r w:rsidR="00767CE6" w:rsidRPr="003518F9">
        <w:rPr>
          <w:rFonts w:asciiTheme="minorBidi" w:hAnsiTheme="minorBidi" w:cstheme="minorBidi"/>
          <w:color w:val="365F91" w:themeColor="accent1" w:themeShade="BF"/>
          <w:u w:val="none"/>
        </w:rPr>
        <w:t>broad</w:t>
      </w:r>
      <w:bookmarkEnd w:id="3"/>
      <w:bookmarkEnd w:id="4"/>
      <w:r w:rsidR="00CE0AF4" w:rsidRPr="003518F9">
        <w:rPr>
          <w:rFonts w:asciiTheme="minorBidi" w:hAnsiTheme="minorBidi" w:cstheme="minorBidi"/>
          <w:color w:val="365F91" w:themeColor="accent1" w:themeShade="BF"/>
          <w:u w:val="none"/>
        </w:rPr>
        <w:t>,</w:t>
      </w:r>
    </w:p>
    <w:p w:rsidR="00E6789C" w:rsidRPr="003518F9" w:rsidRDefault="00767CE6" w:rsidP="00B66E8F">
      <w:pPr>
        <w:pStyle w:val="Heading1"/>
        <w:bidi w:val="0"/>
        <w:rPr>
          <w:rFonts w:asciiTheme="minorBidi" w:hAnsiTheme="minorBidi" w:cstheme="minorBidi"/>
          <w:color w:val="365F91" w:themeColor="accent1" w:themeShade="BF"/>
          <w:u w:val="none"/>
        </w:rPr>
      </w:pPr>
      <w:proofErr w:type="gramStart"/>
      <w:r w:rsidRPr="003518F9">
        <w:rPr>
          <w:rFonts w:asciiTheme="minorBidi" w:hAnsiTheme="minorBidi" w:cstheme="minorBidi"/>
          <w:color w:val="365F91" w:themeColor="accent1" w:themeShade="BF"/>
          <w:u w:val="none"/>
        </w:rPr>
        <w:t>by</w:t>
      </w:r>
      <w:proofErr w:type="gramEnd"/>
      <w:r w:rsidR="00753E86" w:rsidRPr="003518F9">
        <w:rPr>
          <w:rFonts w:asciiTheme="minorBidi" w:hAnsiTheme="minorBidi" w:cstheme="minorBidi"/>
          <w:color w:val="365F91" w:themeColor="accent1" w:themeShade="BF"/>
          <w:u w:val="none"/>
        </w:rPr>
        <w:t xml:space="preserve"> Industries and Countries</w:t>
      </w:r>
      <w:r w:rsidR="0044300E" w:rsidRPr="003518F9">
        <w:rPr>
          <w:rFonts w:asciiTheme="minorBidi" w:hAnsiTheme="minorBidi" w:cstheme="minorBidi"/>
          <w:color w:val="365F91" w:themeColor="accent1" w:themeShade="BF"/>
          <w:u w:val="none"/>
        </w:rPr>
        <w:t xml:space="preserve"> </w:t>
      </w:r>
      <w:r w:rsidR="00D01DBF" w:rsidRPr="003518F9">
        <w:rPr>
          <w:rFonts w:asciiTheme="minorBidi" w:hAnsiTheme="minorBidi" w:cstheme="minorBidi"/>
          <w:color w:val="365F91" w:themeColor="accent1" w:themeShade="BF"/>
          <w:u w:val="none"/>
        </w:rPr>
        <w:t>201</w:t>
      </w:r>
      <w:r w:rsidR="00CC485D" w:rsidRPr="003518F9">
        <w:rPr>
          <w:rFonts w:asciiTheme="minorBidi" w:hAnsiTheme="minorBidi" w:cstheme="minorBidi" w:hint="cs"/>
          <w:color w:val="365F91" w:themeColor="accent1" w:themeShade="BF"/>
          <w:u w:val="none"/>
          <w:rtl/>
        </w:rPr>
        <w:t>5</w:t>
      </w:r>
      <w:r w:rsidR="0044300E" w:rsidRPr="003518F9">
        <w:rPr>
          <w:rFonts w:asciiTheme="minorBidi" w:hAnsiTheme="minorBidi" w:cstheme="minorBidi"/>
          <w:color w:val="365F91" w:themeColor="accent1" w:themeShade="BF"/>
          <w:u w:val="none"/>
        </w:rPr>
        <w:t>-</w:t>
      </w:r>
      <w:bookmarkStart w:id="5" w:name="OLE_LINK1"/>
      <w:bookmarkStart w:id="6" w:name="OLE_LINK2"/>
      <w:bookmarkStart w:id="7" w:name="OLE_LINK3"/>
      <w:bookmarkStart w:id="8" w:name="OLE_LINK4"/>
      <w:r w:rsidR="00D01DBF" w:rsidRPr="003518F9">
        <w:rPr>
          <w:rFonts w:asciiTheme="minorBidi" w:hAnsiTheme="minorBidi" w:cstheme="minorBidi"/>
          <w:color w:val="365F91" w:themeColor="accent1" w:themeShade="BF"/>
          <w:u w:val="none"/>
        </w:rPr>
        <w:t>201</w:t>
      </w:r>
      <w:r w:rsidR="00CC485D" w:rsidRPr="003518F9">
        <w:rPr>
          <w:rFonts w:asciiTheme="minorBidi" w:hAnsiTheme="minorBidi" w:cstheme="minorBidi" w:hint="cs"/>
          <w:color w:val="365F91" w:themeColor="accent1" w:themeShade="BF"/>
          <w:u w:val="none"/>
          <w:rtl/>
        </w:rPr>
        <w:t>7</w:t>
      </w:r>
    </w:p>
    <w:p w:rsidR="00CE0AF4" w:rsidRPr="00746D36" w:rsidRDefault="00FD29DB" w:rsidP="001E0C82">
      <w:pPr>
        <w:spacing w:line="320" w:lineRule="atLeast"/>
        <w:ind w:left="232"/>
        <w:contextualSpacing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ההשקעות הישירות ה</w:t>
      </w:r>
      <w:r w:rsidR="00CE0AF4" w:rsidRPr="00746D36">
        <w:rPr>
          <w:rFonts w:ascii="Arial" w:hAnsi="Arial" w:cs="Arial"/>
          <w:rtl/>
        </w:rPr>
        <w:t xml:space="preserve">ן אחד </w:t>
      </w:r>
      <w:r w:rsidR="00CE0AF4" w:rsidRPr="00746D36">
        <w:rPr>
          <w:rFonts w:ascii="Arial" w:hAnsi="Arial" w:cs="Arial" w:hint="cs"/>
          <w:rtl/>
        </w:rPr>
        <w:t>מ</w:t>
      </w:r>
      <w:r w:rsidR="00CE0AF4" w:rsidRPr="00746D36">
        <w:rPr>
          <w:rFonts w:ascii="Arial" w:hAnsi="Arial" w:cs="Arial"/>
          <w:rtl/>
        </w:rPr>
        <w:t>מרכיבי החשבון הפיננסי של מאזן התשלומים</w:t>
      </w:r>
      <w:r w:rsidR="00CE0AF4" w:rsidRPr="00746D36">
        <w:rPr>
          <w:rFonts w:ascii="Arial" w:hAnsi="Arial" w:cs="Arial" w:hint="cs"/>
          <w:rtl/>
        </w:rPr>
        <w:t xml:space="preserve"> ו</w:t>
      </w:r>
      <w:r>
        <w:rPr>
          <w:rFonts w:ascii="Arial" w:hAnsi="Arial" w:cs="Arial" w:hint="cs"/>
          <w:rtl/>
        </w:rPr>
        <w:t xml:space="preserve">של </w:t>
      </w:r>
      <w:r w:rsidR="00CE0AF4" w:rsidRPr="00746D36">
        <w:rPr>
          <w:rFonts w:ascii="Arial" w:hAnsi="Arial" w:cs="Arial" w:hint="cs"/>
          <w:rtl/>
        </w:rPr>
        <w:t>מצבת הנכסים וההתחייבויות של המשק מול חו"ל (</w:t>
      </w:r>
      <w:r w:rsidR="00CE0AF4" w:rsidRPr="00746D36">
        <w:rPr>
          <w:rFonts w:ascii="Arial" w:hAnsi="Arial" w:cs="Arial"/>
        </w:rPr>
        <w:t>IIP</w:t>
      </w:r>
      <w:r>
        <w:rPr>
          <w:rFonts w:ascii="Arial" w:hAnsi="Arial" w:cs="Arial"/>
        </w:rPr>
        <w:t xml:space="preserve"> </w:t>
      </w:r>
      <w:r w:rsidR="00055F5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International Investment Position</w:t>
      </w:r>
      <w:r w:rsidR="00CE0AF4" w:rsidRPr="00746D36">
        <w:rPr>
          <w:rFonts w:ascii="Arial" w:hAnsi="Arial" w:cs="Arial" w:hint="cs"/>
          <w:rtl/>
        </w:rPr>
        <w:t>)</w:t>
      </w:r>
      <w:r w:rsidR="00CE0AF4" w:rsidRPr="00746D36">
        <w:rPr>
          <w:rFonts w:ascii="Arial" w:hAnsi="Arial" w:cs="Arial"/>
          <w:rtl/>
        </w:rPr>
        <w:t>. ההשקעות הישירות מורכבות מהון מניות (החזקה של יותר מ-10% מהון המניות של חברה במדינה זרה), מרווחים לא מחולקים ומהלוואות בעלים.</w:t>
      </w:r>
    </w:p>
    <w:p w:rsidR="00CE0AF4" w:rsidRPr="00746D36" w:rsidRDefault="00CE0AF4" w:rsidP="001E0C82">
      <w:pPr>
        <w:spacing w:line="320" w:lineRule="atLeast"/>
        <w:ind w:left="232"/>
        <w:contextualSpacing/>
        <w:rPr>
          <w:rFonts w:ascii="Arial" w:hAnsi="Arial" w:cs="Arial"/>
          <w:rtl/>
        </w:rPr>
      </w:pPr>
      <w:r w:rsidRPr="00746D36">
        <w:rPr>
          <w:rFonts w:ascii="Arial" w:hAnsi="Arial" w:cs="Arial"/>
          <w:rtl/>
        </w:rPr>
        <w:t>השקעות נכנסות (</w:t>
      </w:r>
      <w:r w:rsidRPr="00746D36">
        <w:rPr>
          <w:rFonts w:ascii="Arial" w:hAnsi="Arial" w:cs="Arial"/>
        </w:rPr>
        <w:t>IN</w:t>
      </w:r>
      <w:r w:rsidRPr="00746D36">
        <w:rPr>
          <w:rFonts w:ascii="Arial" w:hAnsi="Arial" w:cs="Arial"/>
          <w:rtl/>
        </w:rPr>
        <w:t>): השקעה ישירה של תושבי חו"ל בישראל</w:t>
      </w:r>
      <w:r w:rsidR="00AC2C2E">
        <w:rPr>
          <w:rFonts w:ascii="Arial" w:hAnsi="Arial" w:cs="Arial" w:hint="cs"/>
          <w:rtl/>
        </w:rPr>
        <w:t xml:space="preserve"> (יחידים או חברות)</w:t>
      </w:r>
      <w:r w:rsidRPr="00746D36">
        <w:rPr>
          <w:rFonts w:ascii="Arial" w:hAnsi="Arial" w:cs="Arial"/>
          <w:rtl/>
        </w:rPr>
        <w:t>.</w:t>
      </w:r>
    </w:p>
    <w:p w:rsidR="00CE0AF4" w:rsidRPr="00CE0AF4" w:rsidRDefault="00CE0AF4" w:rsidP="0096664D">
      <w:pPr>
        <w:spacing w:after="60" w:line="320" w:lineRule="atLeast"/>
        <w:ind w:left="232"/>
        <w:rPr>
          <w:rFonts w:ascii="Arial" w:hAnsi="Arial" w:cs="Arial"/>
          <w:rtl/>
        </w:rPr>
      </w:pPr>
      <w:r w:rsidRPr="00746D36">
        <w:rPr>
          <w:rFonts w:ascii="Arial" w:hAnsi="Arial" w:cs="Arial"/>
          <w:rtl/>
        </w:rPr>
        <w:t>השקעות יוצאות (</w:t>
      </w:r>
      <w:r w:rsidRPr="00746D36">
        <w:rPr>
          <w:rFonts w:ascii="Arial" w:hAnsi="Arial" w:cs="Arial"/>
        </w:rPr>
        <w:t>OUT</w:t>
      </w:r>
      <w:r w:rsidRPr="00746D36">
        <w:rPr>
          <w:rFonts w:ascii="Arial" w:hAnsi="Arial" w:cs="Arial"/>
          <w:rtl/>
        </w:rPr>
        <w:t>): השקעה ישירה של תושבי ישראל בחו"ל</w:t>
      </w:r>
      <w:r w:rsidR="00AC2C2E">
        <w:rPr>
          <w:rFonts w:ascii="Arial" w:hAnsi="Arial" w:cs="Arial" w:hint="cs"/>
          <w:rtl/>
        </w:rPr>
        <w:t xml:space="preserve"> (יחידים או חברות)</w:t>
      </w:r>
      <w:r w:rsidRPr="00746D36">
        <w:rPr>
          <w:rFonts w:ascii="Arial" w:hAnsi="Arial" w:cs="Arial"/>
          <w:rtl/>
        </w:rPr>
        <w:t>.</w:t>
      </w:r>
    </w:p>
    <w:bookmarkEnd w:id="5"/>
    <w:bookmarkEnd w:id="6"/>
    <w:bookmarkEnd w:id="7"/>
    <w:bookmarkEnd w:id="8"/>
    <w:p w:rsidR="005E7AB9" w:rsidRPr="0096664D" w:rsidRDefault="005E7AB9" w:rsidP="0096664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rPr>
          <w:rFonts w:ascii="Arial" w:hAnsi="Arial" w:cs="Arial"/>
          <w:b/>
          <w:bCs/>
          <w:sz w:val="26"/>
          <w:szCs w:val="26"/>
          <w:rtl/>
        </w:rPr>
      </w:pPr>
      <w:r w:rsidRPr="0096664D">
        <w:rPr>
          <w:rFonts w:ascii="Arial" w:hAnsi="Arial" w:cs="Arial" w:hint="cs"/>
          <w:b/>
          <w:bCs/>
          <w:sz w:val="26"/>
          <w:szCs w:val="26"/>
          <w:rtl/>
        </w:rPr>
        <w:t xml:space="preserve">נתונים עיקריים </w:t>
      </w:r>
      <w:r w:rsidRPr="0096664D">
        <w:rPr>
          <w:rFonts w:ascii="Arial" w:hAnsi="Arial" w:cs="Arial"/>
          <w:b/>
          <w:bCs/>
          <w:sz w:val="26"/>
          <w:szCs w:val="26"/>
          <w:rtl/>
        </w:rPr>
        <w:t>לשנ</w:t>
      </w:r>
      <w:r w:rsidRPr="0096664D">
        <w:rPr>
          <w:rFonts w:ascii="Arial" w:hAnsi="Arial" w:cs="Arial" w:hint="cs"/>
          <w:b/>
          <w:bCs/>
          <w:sz w:val="26"/>
          <w:szCs w:val="26"/>
          <w:rtl/>
        </w:rPr>
        <w:t>ים</w:t>
      </w:r>
      <w:r w:rsidRPr="0096664D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96664D">
        <w:rPr>
          <w:rFonts w:ascii="Arial" w:hAnsi="Arial" w:cs="Arial" w:hint="cs"/>
          <w:b/>
          <w:bCs/>
          <w:sz w:val="26"/>
          <w:szCs w:val="26"/>
          <w:rtl/>
        </w:rPr>
        <w:t xml:space="preserve">2017-2015 </w:t>
      </w:r>
    </w:p>
    <w:p w:rsidR="005E7AB9" w:rsidRPr="0096664D" w:rsidRDefault="005E7AB9" w:rsidP="00EF2BD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rPr>
          <w:rFonts w:ascii="Arial" w:hAnsi="Arial" w:cs="Arial"/>
          <w:color w:val="943634" w:themeColor="accent2" w:themeShade="BF"/>
          <w:rtl/>
        </w:rPr>
      </w:pPr>
      <w:r w:rsidRPr="00EF2BD8">
        <w:rPr>
          <w:rFonts w:ascii="Arial" w:hAnsi="Arial" w:cs="Arial" w:hint="cs"/>
          <w:b/>
          <w:bCs/>
          <w:color w:val="943634" w:themeColor="accent2" w:themeShade="BF"/>
          <w:rtl/>
        </w:rPr>
        <w:t xml:space="preserve">השקעות נכנסות </w:t>
      </w:r>
      <w:r w:rsidRPr="00EF2BD8">
        <w:rPr>
          <w:rFonts w:ascii="Arial" w:hAnsi="Arial" w:cs="Arial"/>
          <w:b/>
          <w:bCs/>
          <w:color w:val="943634" w:themeColor="accent2" w:themeShade="BF"/>
          <w:rtl/>
        </w:rPr>
        <w:t>(</w:t>
      </w:r>
      <w:r w:rsidRPr="00EF2BD8">
        <w:rPr>
          <w:rFonts w:ascii="Arial" w:hAnsi="Arial" w:cs="Arial"/>
          <w:b/>
          <w:bCs/>
          <w:color w:val="943634" w:themeColor="accent2" w:themeShade="BF"/>
        </w:rPr>
        <w:t>IN</w:t>
      </w:r>
      <w:r w:rsidRPr="00EF2BD8">
        <w:rPr>
          <w:rFonts w:ascii="Arial" w:hAnsi="Arial" w:cs="Arial"/>
          <w:b/>
          <w:bCs/>
          <w:color w:val="943634" w:themeColor="accent2" w:themeShade="BF"/>
          <w:rtl/>
        </w:rPr>
        <w:t>)</w:t>
      </w:r>
      <w:r w:rsidR="00F2450A" w:rsidRPr="00EF2BD8">
        <w:rPr>
          <w:rFonts w:ascii="Arial" w:hAnsi="Arial" w:cs="Arial" w:hint="cs"/>
          <w:color w:val="943634" w:themeColor="accent2" w:themeShade="BF"/>
          <w:rtl/>
        </w:rPr>
        <w:t xml:space="preserve"> </w:t>
      </w:r>
    </w:p>
    <w:p w:rsidR="00AF2AC9" w:rsidRPr="0096664D" w:rsidRDefault="00AF2AC9" w:rsidP="0096664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rPr>
          <w:rFonts w:ascii="Arial" w:hAnsi="Arial" w:cs="Arial"/>
          <w:b/>
          <w:bCs/>
          <w:rtl/>
        </w:rPr>
      </w:pPr>
      <w:r w:rsidRPr="0096664D">
        <w:rPr>
          <w:rFonts w:ascii="Arial" w:hAnsi="Arial" w:cs="Arial" w:hint="cs"/>
          <w:b/>
          <w:bCs/>
          <w:rtl/>
        </w:rPr>
        <w:t>יתרות</w:t>
      </w:r>
      <w:r w:rsidRPr="0096664D">
        <w:rPr>
          <w:rFonts w:asciiTheme="minorBidi" w:hAnsiTheme="minorBidi" w:cstheme="minorBidi"/>
          <w:b/>
          <w:bCs/>
          <w:vertAlign w:val="superscript"/>
          <w:rtl/>
        </w:rPr>
        <w:footnoteReference w:id="2"/>
      </w:r>
      <w:r w:rsidR="00D5507C" w:rsidRPr="0096664D">
        <w:rPr>
          <w:rFonts w:ascii="Arial" w:hAnsi="Arial" w:cs="Arial" w:hint="cs"/>
          <w:b/>
          <w:bCs/>
          <w:rtl/>
        </w:rPr>
        <w:t xml:space="preserve"> (בסוף שנת 2017</w:t>
      </w:r>
      <w:r w:rsidRPr="0096664D">
        <w:rPr>
          <w:rFonts w:ascii="Arial" w:hAnsi="Arial" w:cs="Arial" w:hint="cs"/>
          <w:b/>
          <w:bCs/>
          <w:rtl/>
        </w:rPr>
        <w:t>)</w:t>
      </w:r>
    </w:p>
    <w:p w:rsidR="00E04DFA" w:rsidRDefault="00AF2AC9" w:rsidP="0096664D">
      <w:pPr>
        <w:numPr>
          <w:ilvl w:val="0"/>
          <w:numId w:val="1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1800"/>
        </w:tabs>
        <w:spacing w:line="360" w:lineRule="auto"/>
        <w:ind w:left="714" w:right="0" w:hanging="357"/>
        <w:rPr>
          <w:rFonts w:ascii="Arial" w:hAnsi="Arial" w:cs="Arial"/>
        </w:rPr>
      </w:pPr>
      <w:r w:rsidRPr="00E04DFA">
        <w:rPr>
          <w:rFonts w:ascii="Arial" w:hAnsi="Arial" w:cs="Arial" w:hint="cs"/>
          <w:spacing w:val="-4"/>
          <w:rtl/>
        </w:rPr>
        <w:t>יתרת ההשקעה בסוף שנת 201</w:t>
      </w:r>
      <w:r w:rsidR="002C7C7B" w:rsidRPr="00E04DFA">
        <w:rPr>
          <w:rFonts w:ascii="Arial" w:hAnsi="Arial" w:cs="Arial" w:hint="cs"/>
          <w:spacing w:val="-4"/>
          <w:rtl/>
        </w:rPr>
        <w:t>7</w:t>
      </w:r>
      <w:r w:rsidRPr="00E04DFA">
        <w:rPr>
          <w:rFonts w:ascii="Arial" w:hAnsi="Arial" w:cs="Arial" w:hint="cs"/>
          <w:spacing w:val="-4"/>
          <w:rtl/>
        </w:rPr>
        <w:t xml:space="preserve"> הסתכמה ב-</w:t>
      </w:r>
      <w:r w:rsidR="002C7C7B" w:rsidRPr="00E04DFA">
        <w:rPr>
          <w:rFonts w:ascii="Arial" w:hAnsi="Arial" w:cs="Arial" w:hint="cs"/>
          <w:spacing w:val="-4"/>
          <w:rtl/>
        </w:rPr>
        <w:t>129.1</w:t>
      </w:r>
      <w:r w:rsidRPr="00E04DFA">
        <w:rPr>
          <w:rFonts w:ascii="Arial" w:hAnsi="Arial" w:cs="Arial" w:hint="cs"/>
          <w:spacing w:val="-4"/>
          <w:rtl/>
        </w:rPr>
        <w:t xml:space="preserve"> מיליארד דולר. היתרה בשנה זו </w:t>
      </w:r>
      <w:r w:rsidR="00E04DFA" w:rsidRPr="00E04DFA">
        <w:rPr>
          <w:rFonts w:ascii="Arial" w:hAnsi="Arial" w:cs="Arial" w:hint="cs"/>
          <w:spacing w:val="-4"/>
          <w:rtl/>
        </w:rPr>
        <w:t xml:space="preserve">הייתה </w:t>
      </w:r>
      <w:r w:rsidRPr="00E04DFA">
        <w:rPr>
          <w:rFonts w:ascii="Arial" w:hAnsi="Arial" w:cs="Arial" w:hint="cs"/>
          <w:spacing w:val="-4"/>
          <w:rtl/>
        </w:rPr>
        <w:t>ג</w:t>
      </w:r>
      <w:r w:rsidR="002C7C7B" w:rsidRPr="00E04DFA">
        <w:rPr>
          <w:rFonts w:ascii="Arial" w:hAnsi="Arial" w:cs="Arial" w:hint="cs"/>
          <w:spacing w:val="-4"/>
          <w:rtl/>
        </w:rPr>
        <w:t>בוהה</w:t>
      </w:r>
      <w:r w:rsidRPr="00E04DFA">
        <w:rPr>
          <w:rFonts w:ascii="Arial" w:hAnsi="Arial" w:cs="Arial" w:hint="cs"/>
          <w:spacing w:val="-4"/>
          <w:rtl/>
        </w:rPr>
        <w:t xml:space="preserve"> ב-</w:t>
      </w:r>
      <w:r w:rsidR="002C7C7B" w:rsidRPr="002A2843">
        <w:rPr>
          <w:rFonts w:ascii="Arial" w:hAnsi="Arial" w:cs="Arial" w:hint="cs"/>
          <w:rtl/>
        </w:rPr>
        <w:t>20.2</w:t>
      </w:r>
      <w:r w:rsidRPr="002A2843">
        <w:rPr>
          <w:rFonts w:ascii="Arial" w:hAnsi="Arial" w:cs="Arial" w:hint="cs"/>
          <w:rtl/>
        </w:rPr>
        <w:t>% ל</w:t>
      </w:r>
      <w:r w:rsidR="00E04DFA">
        <w:rPr>
          <w:rFonts w:ascii="Arial" w:hAnsi="Arial" w:cs="Arial" w:hint="cs"/>
          <w:rtl/>
        </w:rPr>
        <w:t xml:space="preserve">עומת </w:t>
      </w:r>
      <w:r w:rsidRPr="002A2843">
        <w:rPr>
          <w:rFonts w:ascii="Arial" w:hAnsi="Arial" w:cs="Arial" w:hint="cs"/>
          <w:rtl/>
        </w:rPr>
        <w:t>שנת 201</w:t>
      </w:r>
      <w:r w:rsidR="002C7C7B" w:rsidRPr="002A2843">
        <w:rPr>
          <w:rFonts w:ascii="Arial" w:hAnsi="Arial" w:cs="Arial" w:hint="cs"/>
          <w:rtl/>
        </w:rPr>
        <w:t>6</w:t>
      </w:r>
      <w:r w:rsidRPr="002A2843">
        <w:rPr>
          <w:rFonts w:ascii="Arial" w:hAnsi="Arial" w:cs="Arial" w:hint="cs"/>
          <w:rtl/>
        </w:rPr>
        <w:t xml:space="preserve"> (</w:t>
      </w:r>
      <w:r w:rsidR="002C7C7B" w:rsidRPr="002A2843">
        <w:rPr>
          <w:rFonts w:ascii="Arial" w:hAnsi="Arial" w:cs="Arial" w:hint="cs"/>
          <w:rtl/>
        </w:rPr>
        <w:t>107.5</w:t>
      </w:r>
      <w:r w:rsidRPr="002A2843">
        <w:rPr>
          <w:rFonts w:ascii="Arial" w:hAnsi="Arial" w:cs="Arial" w:hint="cs"/>
          <w:rtl/>
        </w:rPr>
        <w:t xml:space="preserve"> מיליארד דולר) וב-</w:t>
      </w:r>
      <w:r w:rsidR="002C7C7B" w:rsidRPr="002A2843">
        <w:rPr>
          <w:rFonts w:ascii="Arial" w:hAnsi="Arial" w:cs="Arial" w:hint="cs"/>
          <w:rtl/>
        </w:rPr>
        <w:t>30</w:t>
      </w:r>
      <w:r w:rsidR="00ED6C75" w:rsidRPr="002A2843">
        <w:rPr>
          <w:rFonts w:ascii="Arial" w:hAnsi="Arial" w:cs="Arial" w:hint="cs"/>
          <w:rtl/>
        </w:rPr>
        <w:t>.0</w:t>
      </w:r>
      <w:r w:rsidR="00E04DFA">
        <w:rPr>
          <w:rFonts w:ascii="Arial" w:hAnsi="Arial" w:cs="Arial" w:hint="cs"/>
          <w:rtl/>
        </w:rPr>
        <w:t xml:space="preserve">% </w:t>
      </w:r>
      <w:r w:rsidRPr="002A2843">
        <w:rPr>
          <w:rFonts w:ascii="Arial" w:hAnsi="Arial" w:cs="Arial" w:hint="cs"/>
          <w:rtl/>
        </w:rPr>
        <w:t>ל</w:t>
      </w:r>
      <w:r w:rsidR="00E04DFA">
        <w:rPr>
          <w:rFonts w:ascii="Arial" w:hAnsi="Arial" w:cs="Arial" w:hint="cs"/>
          <w:rtl/>
        </w:rPr>
        <w:t xml:space="preserve">עומת </w:t>
      </w:r>
      <w:r w:rsidRPr="002A2843">
        <w:rPr>
          <w:rFonts w:ascii="Arial" w:hAnsi="Arial" w:cs="Arial" w:hint="cs"/>
          <w:rtl/>
        </w:rPr>
        <w:t>שנת 201</w:t>
      </w:r>
      <w:r w:rsidR="002C7C7B" w:rsidRPr="002A2843">
        <w:rPr>
          <w:rFonts w:ascii="Arial" w:hAnsi="Arial" w:cs="Arial" w:hint="cs"/>
          <w:rtl/>
        </w:rPr>
        <w:t>5</w:t>
      </w:r>
      <w:r w:rsidRPr="002A2843">
        <w:rPr>
          <w:rFonts w:ascii="Arial" w:hAnsi="Arial" w:cs="Arial" w:hint="cs"/>
          <w:rtl/>
        </w:rPr>
        <w:t xml:space="preserve"> (</w:t>
      </w:r>
      <w:r w:rsidR="002C7C7B" w:rsidRPr="002A2843">
        <w:rPr>
          <w:rFonts w:ascii="Arial" w:hAnsi="Arial" w:cs="Arial" w:hint="cs"/>
          <w:rtl/>
        </w:rPr>
        <w:t>99.3</w:t>
      </w:r>
      <w:r w:rsidRPr="002A2843">
        <w:rPr>
          <w:rFonts w:ascii="Arial" w:hAnsi="Arial" w:cs="Arial" w:hint="cs"/>
          <w:rtl/>
        </w:rPr>
        <w:t xml:space="preserve"> מיליארד דולר).</w:t>
      </w:r>
    </w:p>
    <w:p w:rsidR="00ED0B37" w:rsidRPr="002A2843" w:rsidRDefault="00AF2AC9" w:rsidP="00BB5D78">
      <w:pPr>
        <w:numPr>
          <w:ilvl w:val="0"/>
          <w:numId w:val="1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1800"/>
        </w:tabs>
        <w:spacing w:line="360" w:lineRule="auto"/>
        <w:ind w:left="714" w:right="0" w:hanging="357"/>
        <w:rPr>
          <w:rFonts w:ascii="Arial" w:hAnsi="Arial" w:cs="Arial"/>
          <w:rtl/>
        </w:rPr>
      </w:pPr>
      <w:r w:rsidRPr="002A2843">
        <w:rPr>
          <w:rFonts w:ascii="Arial" w:hAnsi="Arial" w:cs="Arial" w:hint="cs"/>
          <w:rtl/>
        </w:rPr>
        <w:t>משקל ההשקעה של תושבי חו"ל בחברות ישראליות בענפי</w:t>
      </w:r>
      <w:r w:rsidR="006C5231" w:rsidRPr="002A2843">
        <w:rPr>
          <w:rFonts w:ascii="Arial" w:hAnsi="Arial" w:cs="Arial" w:hint="cs"/>
          <w:rtl/>
        </w:rPr>
        <w:t xml:space="preserve"> </w:t>
      </w:r>
      <w:r w:rsidR="00E04DFA">
        <w:rPr>
          <w:rFonts w:ascii="Arial" w:hAnsi="Arial" w:cs="Arial" w:hint="cs"/>
          <w:rtl/>
        </w:rPr>
        <w:t>ה</w:t>
      </w:r>
      <w:r w:rsidRPr="002A2843">
        <w:rPr>
          <w:rFonts w:ascii="Arial" w:hAnsi="Arial" w:cs="Arial" w:hint="cs"/>
          <w:rtl/>
        </w:rPr>
        <w:t>מחשוב ו</w:t>
      </w:r>
      <w:r w:rsidR="00E04DFA">
        <w:rPr>
          <w:rFonts w:ascii="Arial" w:hAnsi="Arial" w:cs="Arial" w:hint="cs"/>
          <w:rtl/>
        </w:rPr>
        <w:t>ה</w:t>
      </w:r>
      <w:r w:rsidRPr="002A2843">
        <w:rPr>
          <w:rFonts w:ascii="Arial" w:hAnsi="Arial" w:cs="Arial" w:hint="cs"/>
          <w:rtl/>
        </w:rPr>
        <w:t xml:space="preserve">מו"פ היה </w:t>
      </w:r>
      <w:r w:rsidR="00C12CA8" w:rsidRPr="002A2843">
        <w:rPr>
          <w:rFonts w:ascii="Arial" w:hAnsi="Arial" w:cs="Arial" w:hint="cs"/>
          <w:rtl/>
        </w:rPr>
        <w:t>32.7%</w:t>
      </w:r>
      <w:r w:rsidR="00C12CA8">
        <w:rPr>
          <w:rFonts w:ascii="Arial" w:hAnsi="Arial" w:cs="Arial" w:hint="cs"/>
          <w:rtl/>
        </w:rPr>
        <w:t xml:space="preserve"> </w:t>
      </w:r>
      <w:r w:rsidR="00C12CA8" w:rsidRPr="002A2843">
        <w:rPr>
          <w:rFonts w:ascii="Arial" w:hAnsi="Arial" w:cs="Arial" w:hint="cs"/>
          <w:rtl/>
        </w:rPr>
        <w:t>מסך יתרת ההשקעה</w:t>
      </w:r>
      <w:r w:rsidRPr="002A2843">
        <w:rPr>
          <w:rFonts w:ascii="Arial" w:hAnsi="Arial" w:cs="Arial" w:hint="cs"/>
          <w:rtl/>
        </w:rPr>
        <w:t xml:space="preserve">, בענפי </w:t>
      </w:r>
      <w:r w:rsidR="0065235D" w:rsidRPr="002A2843">
        <w:rPr>
          <w:rFonts w:ascii="Arial" w:hAnsi="Arial" w:cs="Arial" w:hint="cs"/>
          <w:rtl/>
        </w:rPr>
        <w:t>התעשיי</w:t>
      </w:r>
      <w:r w:rsidR="0065235D" w:rsidRPr="002A2843">
        <w:rPr>
          <w:rFonts w:ascii="Arial" w:hAnsi="Arial" w:cs="Arial" w:hint="eastAsia"/>
          <w:rtl/>
        </w:rPr>
        <w:t>ה</w:t>
      </w:r>
      <w:r w:rsidRPr="002A2843">
        <w:rPr>
          <w:rFonts w:ascii="Arial" w:hAnsi="Arial" w:cs="Arial" w:hint="cs"/>
          <w:rtl/>
        </w:rPr>
        <w:t xml:space="preserve"> </w:t>
      </w:r>
      <w:r w:rsidR="00E04DFA">
        <w:rPr>
          <w:rFonts w:ascii="Arial" w:hAnsi="Arial" w:cs="Arial" w:hint="cs"/>
          <w:rtl/>
        </w:rPr>
        <w:t>-</w:t>
      </w:r>
      <w:r w:rsidRPr="002A2843">
        <w:rPr>
          <w:rFonts w:ascii="Arial" w:hAnsi="Arial" w:cs="Arial" w:hint="cs"/>
          <w:rtl/>
        </w:rPr>
        <w:t xml:space="preserve"> </w:t>
      </w:r>
      <w:r w:rsidR="009C753B" w:rsidRPr="002A2843">
        <w:rPr>
          <w:rFonts w:ascii="Arial" w:hAnsi="Arial" w:cs="Arial" w:hint="cs"/>
          <w:rtl/>
        </w:rPr>
        <w:t>28.3</w:t>
      </w:r>
      <w:r w:rsidRPr="002A2843">
        <w:rPr>
          <w:rFonts w:ascii="Arial" w:hAnsi="Arial" w:cs="Arial" w:hint="cs"/>
          <w:rtl/>
        </w:rPr>
        <w:t xml:space="preserve">% ובענפי המסחר והשירותים </w:t>
      </w:r>
      <w:r w:rsidR="00BB5D78">
        <w:rPr>
          <w:rFonts w:ascii="Arial" w:hAnsi="Arial" w:cs="Arial" w:hint="cs"/>
          <w:rtl/>
        </w:rPr>
        <w:t>השונים</w:t>
      </w:r>
      <w:r w:rsidRPr="002A2843">
        <w:rPr>
          <w:rFonts w:ascii="Arial" w:hAnsi="Arial" w:cs="Arial" w:hint="cs"/>
          <w:rtl/>
        </w:rPr>
        <w:t xml:space="preserve"> </w:t>
      </w:r>
      <w:r w:rsidR="00E04DFA">
        <w:rPr>
          <w:rFonts w:ascii="Arial" w:hAnsi="Arial" w:cs="Arial" w:hint="cs"/>
          <w:rtl/>
        </w:rPr>
        <w:t>-</w:t>
      </w:r>
      <w:r w:rsidRPr="002A2843">
        <w:rPr>
          <w:rFonts w:ascii="Arial" w:hAnsi="Arial" w:cs="Arial" w:hint="cs"/>
          <w:rtl/>
        </w:rPr>
        <w:t xml:space="preserve"> </w:t>
      </w:r>
      <w:r w:rsidR="009C753B" w:rsidRPr="002A2843">
        <w:rPr>
          <w:rFonts w:ascii="Arial" w:hAnsi="Arial" w:cs="Arial" w:hint="cs"/>
          <w:rtl/>
        </w:rPr>
        <w:t>27.8</w:t>
      </w:r>
      <w:r w:rsidRPr="002A2843">
        <w:rPr>
          <w:rFonts w:ascii="Arial" w:hAnsi="Arial" w:cs="Arial" w:hint="cs"/>
          <w:rtl/>
        </w:rPr>
        <w:t>%.</w:t>
      </w:r>
    </w:p>
    <w:p w:rsidR="001D1825" w:rsidRDefault="00AF2AC9" w:rsidP="0096664D">
      <w:pPr>
        <w:numPr>
          <w:ilvl w:val="0"/>
          <w:numId w:val="1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14" w:right="0" w:hanging="357"/>
        <w:rPr>
          <w:rFonts w:ascii="Arial" w:hAnsi="Arial" w:cs="Arial"/>
          <w:rtl/>
        </w:rPr>
      </w:pPr>
      <w:r w:rsidRPr="001D1825">
        <w:rPr>
          <w:rFonts w:ascii="Arial" w:hAnsi="Arial" w:cs="Arial" w:hint="cs"/>
          <w:rtl/>
        </w:rPr>
        <w:t>השקעה ניכרת של תושבי חו"ל בחברות ישראליות, מקורה בארה"ב (</w:t>
      </w:r>
      <w:r w:rsidR="0024715F" w:rsidRPr="001D1825">
        <w:rPr>
          <w:rFonts w:ascii="Arial" w:hAnsi="Arial" w:cs="Arial" w:hint="cs"/>
          <w:rtl/>
        </w:rPr>
        <w:t xml:space="preserve">21.1 מיליארד דולר </w:t>
      </w:r>
      <w:r w:rsidR="00FD29DB">
        <w:rPr>
          <w:rFonts w:ascii="Arial" w:hAnsi="Arial" w:cs="Arial" w:hint="cs"/>
          <w:rtl/>
        </w:rPr>
        <w:t>-</w:t>
      </w:r>
      <w:r w:rsidR="0024715F" w:rsidRPr="001D1825">
        <w:rPr>
          <w:rFonts w:ascii="Arial" w:hAnsi="Arial" w:cs="Arial" w:hint="cs"/>
          <w:rtl/>
        </w:rPr>
        <w:t xml:space="preserve"> </w:t>
      </w:r>
      <w:r w:rsidRPr="001D1825">
        <w:rPr>
          <w:rFonts w:ascii="Arial" w:hAnsi="Arial" w:cs="Arial" w:hint="cs"/>
          <w:rtl/>
        </w:rPr>
        <w:t>16.</w:t>
      </w:r>
      <w:r w:rsidR="007C72AD" w:rsidRPr="001D1825">
        <w:rPr>
          <w:rFonts w:ascii="Arial" w:hAnsi="Arial" w:cs="Arial" w:hint="cs"/>
          <w:rtl/>
        </w:rPr>
        <w:t>3</w:t>
      </w:r>
      <w:r w:rsidR="00F31833" w:rsidRPr="001D1825">
        <w:rPr>
          <w:rFonts w:ascii="Arial" w:hAnsi="Arial" w:cs="Arial" w:hint="cs"/>
          <w:rtl/>
        </w:rPr>
        <w:t xml:space="preserve">% מיתרת </w:t>
      </w:r>
      <w:r w:rsidRPr="001D1825">
        <w:rPr>
          <w:rFonts w:ascii="Arial" w:hAnsi="Arial" w:cs="Arial" w:hint="cs"/>
          <w:rtl/>
        </w:rPr>
        <w:t>ההשקעות)</w:t>
      </w:r>
      <w:r w:rsidR="00FD29DB">
        <w:rPr>
          <w:rFonts w:ascii="Arial" w:hAnsi="Arial" w:cs="Arial" w:hint="cs"/>
          <w:rtl/>
        </w:rPr>
        <w:t>,</w:t>
      </w:r>
      <w:r w:rsidRPr="001D1825">
        <w:rPr>
          <w:rFonts w:ascii="Arial" w:hAnsi="Arial" w:cs="Arial" w:hint="cs"/>
          <w:rtl/>
        </w:rPr>
        <w:t xml:space="preserve"> </w:t>
      </w:r>
      <w:r w:rsidR="00FD29DB">
        <w:rPr>
          <w:rFonts w:ascii="Arial" w:hAnsi="Arial" w:cs="Arial" w:hint="cs"/>
          <w:rtl/>
        </w:rPr>
        <w:t>ו</w:t>
      </w:r>
      <w:r w:rsidRPr="001D1825">
        <w:rPr>
          <w:rFonts w:ascii="Arial" w:hAnsi="Arial" w:cs="Arial" w:hint="cs"/>
          <w:rtl/>
        </w:rPr>
        <w:t xml:space="preserve">מתוכה </w:t>
      </w:r>
      <w:r w:rsidR="0052622F" w:rsidRPr="001D1825">
        <w:rPr>
          <w:rFonts w:ascii="Arial" w:hAnsi="Arial" w:cs="Arial" w:hint="cs"/>
          <w:rtl/>
        </w:rPr>
        <w:t>9.6</w:t>
      </w:r>
      <w:r w:rsidRPr="001D1825">
        <w:rPr>
          <w:rFonts w:ascii="Arial" w:hAnsi="Arial" w:cs="Arial" w:hint="cs"/>
          <w:rtl/>
        </w:rPr>
        <w:t xml:space="preserve"> מיליארד דולר </w:t>
      </w:r>
      <w:r w:rsidR="003261D7">
        <w:rPr>
          <w:rFonts w:ascii="Arial" w:hAnsi="Arial" w:cs="Arial" w:hint="cs"/>
          <w:rtl/>
        </w:rPr>
        <w:t xml:space="preserve">היו </w:t>
      </w:r>
      <w:r w:rsidR="0052622F" w:rsidRPr="001D1825">
        <w:rPr>
          <w:rFonts w:ascii="Arial" w:hAnsi="Arial" w:cs="Arial" w:hint="cs"/>
          <w:rtl/>
        </w:rPr>
        <w:t>בענפי השירותים</w:t>
      </w:r>
      <w:r w:rsidR="003C5C74" w:rsidRPr="001D1825">
        <w:rPr>
          <w:rFonts w:ascii="Arial" w:hAnsi="Arial" w:cs="Arial" w:hint="cs"/>
          <w:rtl/>
        </w:rPr>
        <w:t>.</w:t>
      </w:r>
    </w:p>
    <w:p w:rsidR="00AF2AC9" w:rsidRPr="0096664D" w:rsidRDefault="00AF2AC9" w:rsidP="0096664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rPr>
          <w:rFonts w:ascii="Arial" w:hAnsi="Arial" w:cs="Arial"/>
          <w:b/>
          <w:bCs/>
          <w:rtl/>
        </w:rPr>
      </w:pPr>
      <w:r w:rsidRPr="0096664D">
        <w:rPr>
          <w:rFonts w:ascii="Arial" w:hAnsi="Arial" w:cs="Arial" w:hint="cs"/>
          <w:b/>
          <w:bCs/>
          <w:rtl/>
        </w:rPr>
        <w:t>תנועות</w:t>
      </w:r>
    </w:p>
    <w:p w:rsidR="00AF2AC9" w:rsidRPr="00AF2AC9" w:rsidRDefault="00952CD8" w:rsidP="0096664D">
      <w:pPr>
        <w:numPr>
          <w:ilvl w:val="0"/>
          <w:numId w:val="1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14" w:right="0" w:hanging="357"/>
        <w:rPr>
          <w:rFonts w:ascii="Arial" w:hAnsi="Arial" w:cs="Arial"/>
        </w:rPr>
      </w:pPr>
      <w:r w:rsidRPr="00746D36">
        <w:rPr>
          <w:rFonts w:ascii="Arial" w:hAnsi="Arial" w:cs="Arial"/>
          <w:rtl/>
        </w:rPr>
        <w:t xml:space="preserve">השקעות נכנסות </w:t>
      </w:r>
      <w:r w:rsidR="00AF2AC9" w:rsidRPr="00AF2AC9">
        <w:rPr>
          <w:rFonts w:ascii="Arial" w:hAnsi="Arial" w:cs="Arial" w:hint="cs"/>
          <w:rtl/>
        </w:rPr>
        <w:t>בשנת 201</w:t>
      </w:r>
      <w:r w:rsidR="00315F57">
        <w:rPr>
          <w:rFonts w:ascii="Arial" w:hAnsi="Arial" w:cs="Arial" w:hint="cs"/>
          <w:rtl/>
        </w:rPr>
        <w:t>7</w:t>
      </w:r>
      <w:r w:rsidR="00AF2AC9" w:rsidRPr="00AF2AC9">
        <w:rPr>
          <w:rFonts w:ascii="Arial" w:hAnsi="Arial" w:cs="Arial" w:hint="cs"/>
          <w:rtl/>
        </w:rPr>
        <w:t xml:space="preserve"> הסתכמו ב-</w:t>
      </w:r>
      <w:r w:rsidR="00315F57">
        <w:rPr>
          <w:rFonts w:ascii="Arial" w:hAnsi="Arial" w:cs="Arial" w:hint="cs"/>
          <w:rtl/>
        </w:rPr>
        <w:t>18.2</w:t>
      </w:r>
      <w:r w:rsidR="00AF2AC9" w:rsidRPr="00AF2AC9">
        <w:rPr>
          <w:rFonts w:ascii="Arial" w:hAnsi="Arial" w:cs="Arial" w:hint="cs"/>
          <w:rtl/>
        </w:rPr>
        <w:t xml:space="preserve"> מיליארד דולר.</w:t>
      </w:r>
    </w:p>
    <w:p w:rsidR="003B3AA9" w:rsidRDefault="00AF2AC9" w:rsidP="00746F55">
      <w:pPr>
        <w:numPr>
          <w:ilvl w:val="0"/>
          <w:numId w:val="1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14" w:right="0" w:hanging="357"/>
        <w:rPr>
          <w:rFonts w:ascii="Arial" w:hAnsi="Arial" w:cs="Arial"/>
          <w:b/>
          <w:bCs/>
        </w:rPr>
      </w:pPr>
      <w:r w:rsidRPr="00AF2AC9">
        <w:rPr>
          <w:rFonts w:ascii="Arial" w:hAnsi="Arial" w:cs="Arial" w:hint="cs"/>
          <w:rtl/>
        </w:rPr>
        <w:t>במהלך שנת 201</w:t>
      </w:r>
      <w:r w:rsidR="00315F57">
        <w:rPr>
          <w:rFonts w:ascii="Arial" w:hAnsi="Arial" w:cs="Arial" w:hint="cs"/>
          <w:rtl/>
        </w:rPr>
        <w:t>7</w:t>
      </w:r>
      <w:r w:rsidRPr="00AF2AC9">
        <w:rPr>
          <w:rFonts w:ascii="Arial" w:hAnsi="Arial" w:cs="Arial" w:hint="cs"/>
          <w:rtl/>
        </w:rPr>
        <w:t xml:space="preserve"> </w:t>
      </w:r>
      <w:r w:rsidR="00720A6D">
        <w:rPr>
          <w:rFonts w:ascii="Arial" w:hAnsi="Arial" w:cs="Arial" w:hint="cs"/>
          <w:rtl/>
        </w:rPr>
        <w:t>35.9</w:t>
      </w:r>
      <w:r w:rsidRPr="00AF2AC9">
        <w:rPr>
          <w:rFonts w:ascii="Arial" w:hAnsi="Arial" w:cs="Arial" w:hint="cs"/>
          <w:rtl/>
        </w:rPr>
        <w:t>% (</w:t>
      </w:r>
      <w:r w:rsidR="00720A6D">
        <w:rPr>
          <w:rFonts w:ascii="Arial" w:hAnsi="Arial" w:cs="Arial" w:hint="cs"/>
          <w:rtl/>
        </w:rPr>
        <w:t>6</w:t>
      </w:r>
      <w:r w:rsidRPr="00AF2AC9">
        <w:rPr>
          <w:rFonts w:ascii="Arial" w:hAnsi="Arial" w:cs="Arial" w:hint="cs"/>
          <w:rtl/>
        </w:rPr>
        <w:t xml:space="preserve">.5 מיליארד דולר) </w:t>
      </w:r>
      <w:r w:rsidR="00952CD8">
        <w:rPr>
          <w:rFonts w:ascii="Arial" w:hAnsi="Arial" w:cs="Arial" w:hint="cs"/>
          <w:rtl/>
        </w:rPr>
        <w:t>מה</w:t>
      </w:r>
      <w:r w:rsidR="00952CD8" w:rsidRPr="00746D36">
        <w:rPr>
          <w:rFonts w:ascii="Arial" w:hAnsi="Arial" w:cs="Arial"/>
          <w:rtl/>
        </w:rPr>
        <w:t xml:space="preserve">השקעות </w:t>
      </w:r>
      <w:r w:rsidR="00952CD8">
        <w:rPr>
          <w:rFonts w:ascii="Arial" w:hAnsi="Arial" w:cs="Arial" w:hint="cs"/>
          <w:rtl/>
        </w:rPr>
        <w:t>ה</w:t>
      </w:r>
      <w:r w:rsidR="00952CD8" w:rsidRPr="00746D36">
        <w:rPr>
          <w:rFonts w:ascii="Arial" w:hAnsi="Arial" w:cs="Arial"/>
          <w:rtl/>
        </w:rPr>
        <w:t xml:space="preserve">נכנסות </w:t>
      </w:r>
      <w:r w:rsidRPr="00AF2AC9">
        <w:rPr>
          <w:rFonts w:ascii="Arial" w:hAnsi="Arial" w:cs="Arial" w:hint="cs"/>
          <w:rtl/>
        </w:rPr>
        <w:t xml:space="preserve">היו בענפי </w:t>
      </w:r>
      <w:r w:rsidR="00720A6D">
        <w:rPr>
          <w:rFonts w:ascii="Arial" w:hAnsi="Arial" w:cs="Arial" w:hint="cs"/>
          <w:rtl/>
        </w:rPr>
        <w:t xml:space="preserve">מסחר ושירותים </w:t>
      </w:r>
      <w:r w:rsidRPr="00AF2AC9">
        <w:rPr>
          <w:rFonts w:ascii="Arial" w:hAnsi="Arial" w:cs="Arial" w:hint="cs"/>
          <w:rtl/>
        </w:rPr>
        <w:t xml:space="preserve">שונים, </w:t>
      </w:r>
      <w:r w:rsidR="00720A6D">
        <w:rPr>
          <w:rFonts w:ascii="Arial" w:hAnsi="Arial" w:cs="Arial" w:hint="cs"/>
          <w:rtl/>
        </w:rPr>
        <w:t>17.8</w:t>
      </w:r>
      <w:r w:rsidRPr="00AF2AC9">
        <w:rPr>
          <w:rFonts w:ascii="Arial" w:hAnsi="Arial" w:cs="Arial" w:hint="cs"/>
          <w:rtl/>
        </w:rPr>
        <w:t>% (</w:t>
      </w:r>
      <w:r w:rsidR="00720A6D">
        <w:rPr>
          <w:rFonts w:ascii="Arial" w:hAnsi="Arial" w:cs="Arial" w:hint="cs"/>
          <w:rtl/>
        </w:rPr>
        <w:t>3.2</w:t>
      </w:r>
      <w:r w:rsidRPr="00AF2AC9">
        <w:rPr>
          <w:rFonts w:ascii="Arial" w:hAnsi="Arial" w:cs="Arial" w:hint="cs"/>
          <w:rtl/>
        </w:rPr>
        <w:t xml:space="preserve"> מיליארד דולר) </w:t>
      </w:r>
      <w:r w:rsidR="00FD29DB">
        <w:rPr>
          <w:rFonts w:ascii="Arial" w:hAnsi="Arial" w:cs="Arial" w:hint="cs"/>
          <w:rtl/>
        </w:rPr>
        <w:t xml:space="preserve">- </w:t>
      </w:r>
      <w:r w:rsidRPr="00AF2AC9">
        <w:rPr>
          <w:rFonts w:ascii="Arial" w:hAnsi="Arial" w:cs="Arial" w:hint="cs"/>
          <w:rtl/>
        </w:rPr>
        <w:t xml:space="preserve">בחברות העוסקות </w:t>
      </w:r>
      <w:r w:rsidR="00720A6D" w:rsidRPr="00AF2AC9">
        <w:rPr>
          <w:rFonts w:ascii="Arial" w:hAnsi="Arial" w:cs="Arial" w:hint="cs"/>
          <w:rtl/>
        </w:rPr>
        <w:t>בשירותי מידע</w:t>
      </w:r>
      <w:r w:rsidR="00720A6D">
        <w:rPr>
          <w:rFonts w:ascii="Arial" w:hAnsi="Arial" w:cs="Arial" w:hint="cs"/>
          <w:rtl/>
        </w:rPr>
        <w:t xml:space="preserve">, </w:t>
      </w:r>
      <w:r w:rsidR="00720A6D" w:rsidRPr="00AF2AC9">
        <w:rPr>
          <w:rFonts w:ascii="Arial" w:hAnsi="Arial" w:cs="Arial" w:hint="cs"/>
          <w:rtl/>
        </w:rPr>
        <w:t xml:space="preserve">תקשורת ותכנות </w:t>
      </w:r>
      <w:r w:rsidR="00720A6D">
        <w:rPr>
          <w:rFonts w:ascii="Arial" w:hAnsi="Arial" w:cs="Arial" w:hint="cs"/>
          <w:rtl/>
        </w:rPr>
        <w:t>ו</w:t>
      </w:r>
      <w:r w:rsidR="00FD29DB">
        <w:rPr>
          <w:rFonts w:ascii="Arial" w:hAnsi="Arial" w:cs="Arial" w:hint="cs"/>
          <w:rtl/>
        </w:rPr>
        <w:t>י</w:t>
      </w:r>
      <w:r w:rsidR="00720A6D">
        <w:rPr>
          <w:rFonts w:ascii="Arial" w:hAnsi="Arial" w:cs="Arial" w:hint="cs"/>
          <w:rtl/>
        </w:rPr>
        <w:t>יעוץ בתחום ה</w:t>
      </w:r>
      <w:r w:rsidR="00720A6D" w:rsidRPr="00AF2AC9">
        <w:rPr>
          <w:rFonts w:ascii="Arial" w:hAnsi="Arial" w:cs="Arial" w:hint="cs"/>
          <w:rtl/>
        </w:rPr>
        <w:t>מחשבים</w:t>
      </w:r>
      <w:r w:rsidR="00720A6D">
        <w:rPr>
          <w:rFonts w:ascii="Arial" w:hAnsi="Arial" w:cs="Arial" w:hint="cs"/>
          <w:rtl/>
        </w:rPr>
        <w:t>, 15</w:t>
      </w:r>
      <w:r w:rsidR="005E5DEA">
        <w:rPr>
          <w:rFonts w:ascii="Arial" w:hAnsi="Arial" w:cs="Arial" w:hint="cs"/>
          <w:rtl/>
        </w:rPr>
        <w:t>.3</w:t>
      </w:r>
      <w:r w:rsidR="00720A6D">
        <w:rPr>
          <w:rFonts w:ascii="Arial" w:hAnsi="Arial" w:cs="Arial" w:hint="cs"/>
          <w:rtl/>
        </w:rPr>
        <w:t xml:space="preserve">% (2.8 </w:t>
      </w:r>
      <w:r w:rsidR="00720A6D" w:rsidRPr="00AF2AC9">
        <w:rPr>
          <w:rFonts w:ascii="Arial" w:hAnsi="Arial" w:cs="Arial" w:hint="cs"/>
          <w:rtl/>
        </w:rPr>
        <w:t>מיליארד דולר</w:t>
      </w:r>
      <w:r w:rsidR="00720A6D">
        <w:rPr>
          <w:rFonts w:ascii="Arial" w:hAnsi="Arial" w:cs="Arial" w:hint="cs"/>
          <w:rtl/>
        </w:rPr>
        <w:t xml:space="preserve">) </w:t>
      </w:r>
      <w:r w:rsidR="00FD29DB">
        <w:rPr>
          <w:rFonts w:ascii="Arial" w:hAnsi="Arial" w:cs="Arial" w:hint="cs"/>
          <w:rtl/>
        </w:rPr>
        <w:t xml:space="preserve">- </w:t>
      </w:r>
      <w:r w:rsidR="00720A6D">
        <w:rPr>
          <w:rFonts w:ascii="Arial" w:hAnsi="Arial" w:cs="Arial" w:hint="cs"/>
          <w:rtl/>
        </w:rPr>
        <w:t>בענפי תעשייה שונים</w:t>
      </w:r>
      <w:r w:rsidR="00720A6D" w:rsidRPr="00AF2AC9">
        <w:rPr>
          <w:rFonts w:ascii="Arial" w:hAnsi="Arial" w:cs="Arial" w:hint="cs"/>
          <w:rtl/>
        </w:rPr>
        <w:t xml:space="preserve"> </w:t>
      </w:r>
      <w:r w:rsidRPr="00AF2AC9">
        <w:rPr>
          <w:rFonts w:ascii="Arial" w:hAnsi="Arial" w:cs="Arial" w:hint="cs"/>
          <w:rtl/>
        </w:rPr>
        <w:t>ו-</w:t>
      </w:r>
      <w:r w:rsidR="00746F55">
        <w:rPr>
          <w:rFonts w:ascii="Arial" w:hAnsi="Arial" w:cs="Arial" w:hint="cs"/>
          <w:rtl/>
        </w:rPr>
        <w:t>10.6</w:t>
      </w:r>
      <w:r w:rsidRPr="00AF2AC9">
        <w:rPr>
          <w:rFonts w:ascii="Arial" w:hAnsi="Arial" w:cs="Arial" w:hint="cs"/>
          <w:rtl/>
        </w:rPr>
        <w:t>% (</w:t>
      </w:r>
      <w:r w:rsidR="00746F55">
        <w:rPr>
          <w:rFonts w:ascii="Arial" w:hAnsi="Arial" w:cs="Arial" w:hint="cs"/>
          <w:rtl/>
        </w:rPr>
        <w:t>1.9</w:t>
      </w:r>
      <w:r w:rsidRPr="00AF2AC9">
        <w:rPr>
          <w:rFonts w:ascii="Arial" w:hAnsi="Arial" w:cs="Arial" w:hint="cs"/>
          <w:rtl/>
        </w:rPr>
        <w:t xml:space="preserve"> מיליארד דולר) היו </w:t>
      </w:r>
      <w:r w:rsidR="00720A6D" w:rsidRPr="00AF2AC9">
        <w:rPr>
          <w:rFonts w:ascii="Arial" w:hAnsi="Arial" w:cs="Arial" w:hint="cs"/>
          <w:rtl/>
        </w:rPr>
        <w:t>בחברות העוסקות ב</w:t>
      </w:r>
      <w:r w:rsidR="00720A6D" w:rsidRPr="00AF2AC9">
        <w:rPr>
          <w:rFonts w:ascii="Arial" w:hAnsi="Arial" w:cs="Arial"/>
          <w:rtl/>
        </w:rPr>
        <w:t>מחקר מדעי ופיתוח</w:t>
      </w:r>
      <w:r w:rsidR="00720A6D" w:rsidRPr="0051298A">
        <w:rPr>
          <w:rFonts w:ascii="Arial" w:hAnsi="Arial" w:cs="Arial" w:hint="cs"/>
          <w:rtl/>
        </w:rPr>
        <w:t>.</w:t>
      </w:r>
    </w:p>
    <w:p w:rsidR="0051298A" w:rsidRDefault="0051298A">
      <w:pPr>
        <w:bidi w:val="0"/>
        <w:rPr>
          <w:rFonts w:cs="Arial"/>
          <w:b/>
          <w:bCs/>
          <w:sz w:val="28"/>
          <w:rtl/>
        </w:rPr>
      </w:pPr>
      <w:r>
        <w:rPr>
          <w:rtl/>
        </w:rPr>
        <w:br w:type="page"/>
      </w:r>
    </w:p>
    <w:p w:rsidR="0096664D" w:rsidRPr="0096664D" w:rsidRDefault="0096664D" w:rsidP="00EF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rPr>
          <w:rFonts w:ascii="Arial" w:hAnsi="Arial" w:cs="Arial"/>
          <w:b/>
          <w:bCs/>
          <w:color w:val="943634" w:themeColor="accent2" w:themeShade="BF"/>
          <w:rtl/>
        </w:rPr>
      </w:pPr>
      <w:r w:rsidRPr="0096664D">
        <w:rPr>
          <w:rFonts w:ascii="Arial" w:hAnsi="Arial" w:cs="Arial" w:hint="cs"/>
          <w:b/>
          <w:bCs/>
          <w:color w:val="943634" w:themeColor="accent2" w:themeShade="BF"/>
          <w:rtl/>
        </w:rPr>
        <w:lastRenderedPageBreak/>
        <w:t xml:space="preserve">השקעות יוצאות </w:t>
      </w:r>
      <w:r w:rsidRPr="0096664D">
        <w:rPr>
          <w:rFonts w:ascii="Arial" w:hAnsi="Arial" w:cs="Arial"/>
          <w:b/>
          <w:bCs/>
          <w:color w:val="943634" w:themeColor="accent2" w:themeShade="BF"/>
          <w:rtl/>
        </w:rPr>
        <w:t>(</w:t>
      </w:r>
      <w:r w:rsidRPr="0096664D">
        <w:rPr>
          <w:rFonts w:ascii="Arial" w:hAnsi="Arial" w:cs="Arial"/>
          <w:b/>
          <w:bCs/>
          <w:color w:val="943634" w:themeColor="accent2" w:themeShade="BF"/>
        </w:rPr>
        <w:t>OUT</w:t>
      </w:r>
      <w:r w:rsidRPr="0096664D">
        <w:rPr>
          <w:rFonts w:ascii="Arial" w:hAnsi="Arial" w:cs="Arial"/>
          <w:b/>
          <w:bCs/>
          <w:color w:val="943634" w:themeColor="accent2" w:themeShade="BF"/>
          <w:rtl/>
        </w:rPr>
        <w:t>)</w:t>
      </w:r>
      <w:r w:rsidR="004F5326">
        <w:rPr>
          <w:rFonts w:ascii="Arial" w:hAnsi="Arial" w:cs="Arial" w:hint="cs"/>
          <w:b/>
          <w:bCs/>
          <w:color w:val="943634" w:themeColor="accent2" w:themeShade="BF"/>
          <w:rtl/>
        </w:rPr>
        <w:t xml:space="preserve"> </w:t>
      </w:r>
    </w:p>
    <w:p w:rsidR="00AF2AC9" w:rsidRPr="0096664D" w:rsidRDefault="00AF2AC9" w:rsidP="0051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rPr>
          <w:rFonts w:ascii="Arial" w:hAnsi="Arial" w:cs="Arial"/>
          <w:b/>
          <w:bCs/>
          <w:rtl/>
        </w:rPr>
      </w:pPr>
      <w:r w:rsidRPr="0096664D">
        <w:rPr>
          <w:rFonts w:ascii="Arial" w:hAnsi="Arial" w:cs="Arial" w:hint="cs"/>
          <w:b/>
          <w:bCs/>
          <w:rtl/>
        </w:rPr>
        <w:t>יתרות (בסוף שנת 201</w:t>
      </w:r>
      <w:r w:rsidR="001A5858" w:rsidRPr="0096664D">
        <w:rPr>
          <w:rFonts w:ascii="Arial" w:hAnsi="Arial" w:cs="Arial" w:hint="cs"/>
          <w:b/>
          <w:bCs/>
          <w:rtl/>
        </w:rPr>
        <w:t>7</w:t>
      </w:r>
      <w:r w:rsidRPr="0096664D">
        <w:rPr>
          <w:rFonts w:ascii="Arial" w:hAnsi="Arial" w:cs="Arial" w:hint="cs"/>
          <w:b/>
          <w:bCs/>
          <w:rtl/>
        </w:rPr>
        <w:t>)</w:t>
      </w:r>
    </w:p>
    <w:p w:rsidR="00AF2AC9" w:rsidRPr="00F31833" w:rsidRDefault="00AF2AC9" w:rsidP="00B05CB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14" w:right="0" w:hanging="357"/>
        <w:rPr>
          <w:rFonts w:ascii="Arial" w:hAnsi="Arial" w:cs="Arial"/>
        </w:rPr>
      </w:pPr>
      <w:r w:rsidRPr="00F31833">
        <w:rPr>
          <w:rFonts w:ascii="Arial" w:hAnsi="Arial" w:cs="Arial" w:hint="cs"/>
          <w:rtl/>
        </w:rPr>
        <w:t>יתרת ההשקעה</w:t>
      </w:r>
      <w:r w:rsidR="00952CD8">
        <w:rPr>
          <w:rFonts w:ascii="Arial" w:hAnsi="Arial" w:cs="Arial" w:hint="cs"/>
          <w:rtl/>
        </w:rPr>
        <w:t xml:space="preserve"> היוצאת</w:t>
      </w:r>
      <w:r w:rsidRPr="00F31833">
        <w:rPr>
          <w:rFonts w:ascii="Arial" w:hAnsi="Arial" w:cs="Arial" w:hint="cs"/>
          <w:rtl/>
        </w:rPr>
        <w:t xml:space="preserve"> בסוף שנת 201</w:t>
      </w:r>
      <w:r w:rsidR="001A5858">
        <w:rPr>
          <w:rFonts w:ascii="Arial" w:hAnsi="Arial" w:cs="Arial" w:hint="cs"/>
          <w:rtl/>
        </w:rPr>
        <w:t>7</w:t>
      </w:r>
      <w:r w:rsidRPr="00F31833">
        <w:rPr>
          <w:rFonts w:ascii="Arial" w:hAnsi="Arial" w:cs="Arial" w:hint="cs"/>
          <w:rtl/>
        </w:rPr>
        <w:t xml:space="preserve"> הסתכמה ב-</w:t>
      </w:r>
      <w:r w:rsidR="001A5858">
        <w:rPr>
          <w:rFonts w:ascii="Arial" w:hAnsi="Arial" w:cs="Arial" w:hint="cs"/>
          <w:rtl/>
        </w:rPr>
        <w:t>100.3</w:t>
      </w:r>
      <w:r w:rsidRPr="00F31833">
        <w:rPr>
          <w:rFonts w:ascii="Arial" w:hAnsi="Arial" w:cs="Arial" w:hint="cs"/>
          <w:rtl/>
        </w:rPr>
        <w:t xml:space="preserve"> מיליארד דולר. היתרה בשנה זו </w:t>
      </w:r>
      <w:r w:rsidR="001A5858">
        <w:rPr>
          <w:rFonts w:ascii="Arial" w:hAnsi="Arial" w:cs="Arial" w:hint="cs"/>
          <w:rtl/>
        </w:rPr>
        <w:t>גבוהה</w:t>
      </w:r>
      <w:r w:rsidRPr="00F31833">
        <w:rPr>
          <w:rFonts w:ascii="Arial" w:hAnsi="Arial" w:cs="Arial" w:hint="cs"/>
          <w:rtl/>
        </w:rPr>
        <w:t xml:space="preserve"> ב-</w:t>
      </w:r>
      <w:r w:rsidR="001A5858">
        <w:rPr>
          <w:rFonts w:ascii="Arial" w:hAnsi="Arial" w:cs="Arial" w:hint="cs"/>
          <w:rtl/>
        </w:rPr>
        <w:t>5.9</w:t>
      </w:r>
      <w:r w:rsidRPr="00F31833">
        <w:rPr>
          <w:rFonts w:ascii="Arial" w:hAnsi="Arial" w:cs="Arial" w:hint="cs"/>
          <w:rtl/>
        </w:rPr>
        <w:t>% ל</w:t>
      </w:r>
      <w:r w:rsidR="00B05CB2">
        <w:rPr>
          <w:rFonts w:ascii="Arial" w:hAnsi="Arial" w:cs="Arial" w:hint="cs"/>
          <w:rtl/>
        </w:rPr>
        <w:t>עומת</w:t>
      </w:r>
      <w:r w:rsidRPr="00F31833">
        <w:rPr>
          <w:rFonts w:ascii="Arial" w:hAnsi="Arial" w:cs="Arial" w:hint="cs"/>
          <w:rtl/>
        </w:rPr>
        <w:t xml:space="preserve"> 201</w:t>
      </w:r>
      <w:r w:rsidR="001A5858">
        <w:rPr>
          <w:rFonts w:ascii="Arial" w:hAnsi="Arial" w:cs="Arial" w:hint="cs"/>
          <w:rtl/>
        </w:rPr>
        <w:t>6</w:t>
      </w:r>
      <w:r w:rsidRPr="00F31833">
        <w:rPr>
          <w:rFonts w:ascii="Arial" w:hAnsi="Arial" w:cs="Arial" w:hint="cs"/>
          <w:rtl/>
        </w:rPr>
        <w:t xml:space="preserve"> (</w:t>
      </w:r>
      <w:r w:rsidR="001A5858">
        <w:rPr>
          <w:rFonts w:ascii="Arial" w:hAnsi="Arial" w:cs="Arial" w:hint="cs"/>
          <w:rtl/>
        </w:rPr>
        <w:t>94.6</w:t>
      </w:r>
      <w:r w:rsidRPr="00F31833">
        <w:rPr>
          <w:rFonts w:ascii="Arial" w:hAnsi="Arial" w:cs="Arial" w:hint="cs"/>
          <w:rtl/>
        </w:rPr>
        <w:t xml:space="preserve"> מיליארד דולר) וב-</w:t>
      </w:r>
      <w:r w:rsidR="001A5858">
        <w:rPr>
          <w:rFonts w:ascii="Arial" w:hAnsi="Arial" w:cs="Arial" w:hint="cs"/>
          <w:rtl/>
        </w:rPr>
        <w:t>18.4</w:t>
      </w:r>
      <w:r w:rsidRPr="00F31833">
        <w:rPr>
          <w:rFonts w:ascii="Arial" w:hAnsi="Arial" w:cs="Arial" w:hint="cs"/>
          <w:rtl/>
        </w:rPr>
        <w:t>% ל</w:t>
      </w:r>
      <w:r w:rsidR="00B05CB2">
        <w:rPr>
          <w:rFonts w:ascii="Arial" w:hAnsi="Arial" w:cs="Arial" w:hint="cs"/>
          <w:rtl/>
        </w:rPr>
        <w:t>עומ</w:t>
      </w:r>
      <w:r w:rsidRPr="00F31833">
        <w:rPr>
          <w:rFonts w:ascii="Arial" w:hAnsi="Arial" w:cs="Arial" w:hint="cs"/>
          <w:rtl/>
        </w:rPr>
        <w:t>ת 201</w:t>
      </w:r>
      <w:r w:rsidR="001A5858">
        <w:rPr>
          <w:rFonts w:ascii="Arial" w:hAnsi="Arial" w:cs="Arial" w:hint="cs"/>
          <w:rtl/>
        </w:rPr>
        <w:t>5</w:t>
      </w:r>
      <w:r w:rsidRPr="00F31833">
        <w:rPr>
          <w:rFonts w:ascii="Arial" w:hAnsi="Arial" w:cs="Arial" w:hint="cs"/>
          <w:rtl/>
        </w:rPr>
        <w:t xml:space="preserve"> (</w:t>
      </w:r>
      <w:r w:rsidR="001A5858">
        <w:rPr>
          <w:rFonts w:ascii="Arial" w:hAnsi="Arial" w:cs="Arial" w:hint="cs"/>
          <w:rtl/>
        </w:rPr>
        <w:t>84.7</w:t>
      </w:r>
      <w:r w:rsidRPr="00F31833">
        <w:rPr>
          <w:rFonts w:ascii="Arial" w:hAnsi="Arial" w:cs="Arial" w:hint="cs"/>
          <w:rtl/>
        </w:rPr>
        <w:t xml:space="preserve"> מיליארד דולר).</w:t>
      </w:r>
    </w:p>
    <w:p w:rsidR="00AF2AC9" w:rsidRPr="00F31833" w:rsidRDefault="00AF2AC9" w:rsidP="00CA6AC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14" w:right="0" w:hanging="357"/>
        <w:rPr>
          <w:rFonts w:ascii="Arial" w:hAnsi="Arial" w:cs="Arial"/>
          <w:rtl/>
        </w:rPr>
      </w:pPr>
      <w:r w:rsidRPr="00F31833">
        <w:rPr>
          <w:rFonts w:ascii="Arial" w:hAnsi="Arial" w:cs="Arial" w:hint="cs"/>
          <w:rtl/>
        </w:rPr>
        <w:t xml:space="preserve">משקל ההשקעה בחו"ל של חברות ישראליות </w:t>
      </w:r>
      <w:r w:rsidR="00511A2F">
        <w:rPr>
          <w:rFonts w:ascii="Arial" w:hAnsi="Arial" w:cs="Arial" w:hint="cs"/>
          <w:rtl/>
        </w:rPr>
        <w:t>מ</w:t>
      </w:r>
      <w:r w:rsidRPr="00F31833">
        <w:rPr>
          <w:rFonts w:ascii="Arial" w:hAnsi="Arial" w:cs="Arial" w:hint="cs"/>
          <w:rtl/>
        </w:rPr>
        <w:t xml:space="preserve">ענף </w:t>
      </w:r>
      <w:r w:rsidRPr="00F31833">
        <w:rPr>
          <w:rFonts w:ascii="Arial" w:hAnsi="Arial" w:cs="Arial"/>
          <w:rtl/>
        </w:rPr>
        <w:t>ייצור מוצרי נפט, כימיקלים ותרופות</w:t>
      </w:r>
      <w:r w:rsidRPr="00F31833">
        <w:rPr>
          <w:rFonts w:ascii="Arial" w:hAnsi="Arial" w:cs="Arial" w:hint="cs"/>
          <w:rtl/>
        </w:rPr>
        <w:t xml:space="preserve"> </w:t>
      </w:r>
      <w:r w:rsidR="009B75F4">
        <w:rPr>
          <w:rFonts w:ascii="Arial" w:hAnsi="Arial" w:cs="Arial" w:hint="cs"/>
          <w:rtl/>
        </w:rPr>
        <w:t>עמד על</w:t>
      </w:r>
      <w:r w:rsidRPr="00F31833">
        <w:rPr>
          <w:rFonts w:ascii="Arial" w:hAnsi="Arial" w:cs="Arial" w:hint="cs"/>
          <w:rtl/>
        </w:rPr>
        <w:t xml:space="preserve"> 5</w:t>
      </w:r>
      <w:r w:rsidR="002A7C61">
        <w:rPr>
          <w:rFonts w:ascii="Arial" w:hAnsi="Arial" w:cs="Arial" w:hint="cs"/>
          <w:rtl/>
        </w:rPr>
        <w:t>5</w:t>
      </w:r>
      <w:r w:rsidRPr="00F31833">
        <w:rPr>
          <w:rFonts w:ascii="Arial" w:hAnsi="Arial" w:cs="Arial" w:hint="cs"/>
          <w:rtl/>
        </w:rPr>
        <w:t>.5%, משקל ההשקעה של</w:t>
      </w:r>
      <w:r w:rsidR="00511A2F">
        <w:rPr>
          <w:rFonts w:ascii="Arial" w:hAnsi="Arial" w:cs="Arial" w:hint="cs"/>
          <w:rtl/>
        </w:rPr>
        <w:t xml:space="preserve"> חברות</w:t>
      </w:r>
      <w:r w:rsidRPr="00F31833">
        <w:rPr>
          <w:rFonts w:ascii="Arial" w:hAnsi="Arial" w:cs="Arial" w:hint="cs"/>
          <w:rtl/>
        </w:rPr>
        <w:t xml:space="preserve"> </w:t>
      </w:r>
      <w:r w:rsidR="00511A2F">
        <w:rPr>
          <w:rFonts w:ascii="Arial" w:hAnsi="Arial" w:cs="Arial" w:hint="cs"/>
          <w:rtl/>
        </w:rPr>
        <w:t>מ</w:t>
      </w:r>
      <w:r w:rsidRPr="00F31833">
        <w:rPr>
          <w:rFonts w:ascii="Arial" w:hAnsi="Arial" w:cs="Arial" w:hint="cs"/>
          <w:rtl/>
        </w:rPr>
        <w:t xml:space="preserve">ענף </w:t>
      </w:r>
      <w:r w:rsidRPr="00F31833">
        <w:rPr>
          <w:rFonts w:ascii="Arial" w:hAnsi="Arial" w:cs="Arial"/>
          <w:rtl/>
        </w:rPr>
        <w:t>שירותים פיננסיים, פרט לביטוח ולקרנות פנסיה</w:t>
      </w:r>
      <w:r w:rsidRPr="00F31833">
        <w:rPr>
          <w:rFonts w:ascii="Arial" w:hAnsi="Arial" w:cs="Arial" w:hint="cs"/>
          <w:rtl/>
        </w:rPr>
        <w:t xml:space="preserve"> </w:t>
      </w:r>
      <w:r w:rsidR="009B75F4">
        <w:rPr>
          <w:rFonts w:ascii="Arial" w:hAnsi="Arial" w:cs="Arial" w:hint="cs"/>
          <w:rtl/>
        </w:rPr>
        <w:t>עמד על</w:t>
      </w:r>
      <w:r w:rsidRPr="00F31833">
        <w:rPr>
          <w:rFonts w:ascii="Arial" w:hAnsi="Arial" w:cs="Arial" w:hint="cs"/>
          <w:rtl/>
        </w:rPr>
        <w:t xml:space="preserve"> </w:t>
      </w:r>
      <w:r w:rsidR="002A7C61">
        <w:rPr>
          <w:rFonts w:ascii="Arial" w:hAnsi="Arial" w:cs="Arial" w:hint="cs"/>
          <w:rtl/>
        </w:rPr>
        <w:t>13.2</w:t>
      </w:r>
      <w:r w:rsidRPr="00F31833">
        <w:rPr>
          <w:rFonts w:ascii="Arial" w:hAnsi="Arial" w:cs="Arial" w:hint="cs"/>
          <w:rtl/>
        </w:rPr>
        <w:t>%</w:t>
      </w:r>
      <w:r w:rsidR="002A7C61">
        <w:rPr>
          <w:rFonts w:ascii="Arial" w:hAnsi="Arial" w:cs="Arial" w:hint="cs"/>
          <w:rtl/>
        </w:rPr>
        <w:t>,</w:t>
      </w:r>
      <w:r w:rsidRPr="00F31833">
        <w:rPr>
          <w:rFonts w:ascii="Arial" w:hAnsi="Arial" w:cs="Arial" w:hint="cs"/>
          <w:rtl/>
        </w:rPr>
        <w:t xml:space="preserve"> </w:t>
      </w:r>
      <w:r w:rsidR="002A7C61">
        <w:rPr>
          <w:rFonts w:ascii="Arial" w:hAnsi="Arial" w:cs="Arial" w:hint="cs"/>
          <w:rtl/>
        </w:rPr>
        <w:t xml:space="preserve">משקל ההשקעה </w:t>
      </w:r>
      <w:r w:rsidR="00511A2F" w:rsidRPr="00F31833">
        <w:rPr>
          <w:rFonts w:ascii="Arial" w:hAnsi="Arial" w:cs="Arial" w:hint="cs"/>
          <w:rtl/>
        </w:rPr>
        <w:t xml:space="preserve">של חברות </w:t>
      </w:r>
      <w:r w:rsidR="00511A2F">
        <w:rPr>
          <w:rFonts w:ascii="Arial" w:hAnsi="Arial" w:cs="Arial" w:hint="cs"/>
          <w:rtl/>
        </w:rPr>
        <w:t>העוסקות ב</w:t>
      </w:r>
      <w:r w:rsidR="002A7C61">
        <w:rPr>
          <w:rFonts w:ascii="Arial" w:hAnsi="Arial" w:cs="Arial" w:hint="cs"/>
          <w:rtl/>
        </w:rPr>
        <w:t xml:space="preserve">פעילות בנדל"ן עמד על % 4.6 </w:t>
      </w:r>
      <w:r w:rsidRPr="00F31833">
        <w:rPr>
          <w:rFonts w:ascii="Arial" w:hAnsi="Arial" w:cs="Arial" w:hint="cs"/>
          <w:rtl/>
        </w:rPr>
        <w:t>ו</w:t>
      </w:r>
      <w:r w:rsidR="00CA6AC1">
        <w:rPr>
          <w:rFonts w:ascii="Arial" w:hAnsi="Arial" w:cs="Arial" w:hint="cs"/>
          <w:rtl/>
        </w:rPr>
        <w:t xml:space="preserve">של חברות מענף </w:t>
      </w:r>
      <w:r w:rsidRPr="00F31833">
        <w:rPr>
          <w:rFonts w:ascii="Arial" w:hAnsi="Arial" w:cs="Arial"/>
          <w:rtl/>
        </w:rPr>
        <w:t>ייצור מחשבים, מכשור אלקטרוני ואופטי וציוד חשמלי</w:t>
      </w:r>
      <w:r w:rsidRPr="00F31833">
        <w:rPr>
          <w:rFonts w:ascii="Arial" w:hAnsi="Arial" w:cs="Arial" w:hint="cs"/>
          <w:rtl/>
        </w:rPr>
        <w:t xml:space="preserve"> </w:t>
      </w:r>
      <w:r w:rsidR="009B75F4">
        <w:rPr>
          <w:rFonts w:ascii="Arial" w:hAnsi="Arial" w:cs="Arial" w:hint="cs"/>
          <w:rtl/>
        </w:rPr>
        <w:t>עמד על</w:t>
      </w:r>
      <w:r w:rsidRPr="00F31833">
        <w:rPr>
          <w:rFonts w:ascii="Arial" w:hAnsi="Arial" w:cs="Arial" w:hint="cs"/>
          <w:rtl/>
        </w:rPr>
        <w:t xml:space="preserve"> 4.</w:t>
      </w:r>
      <w:r w:rsidR="002A7C61">
        <w:rPr>
          <w:rFonts w:ascii="Arial" w:hAnsi="Arial" w:cs="Arial" w:hint="cs"/>
          <w:rtl/>
        </w:rPr>
        <w:t>2</w:t>
      </w:r>
      <w:r w:rsidRPr="00F31833">
        <w:rPr>
          <w:rFonts w:ascii="Arial" w:hAnsi="Arial" w:cs="Arial" w:hint="cs"/>
          <w:rtl/>
        </w:rPr>
        <w:t xml:space="preserve">%. </w:t>
      </w:r>
    </w:p>
    <w:p w:rsidR="003C174D" w:rsidRDefault="00860FB7" w:rsidP="006A392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14" w:right="0" w:hanging="357"/>
        <w:rPr>
          <w:rFonts w:ascii="Arial" w:hAnsi="Arial" w:cs="Arial"/>
          <w:u w:val="single"/>
        </w:rPr>
      </w:pPr>
      <w:r w:rsidRPr="00EE1138">
        <w:rPr>
          <w:rFonts w:ascii="Arial" w:hAnsi="Arial" w:cs="Arial" w:hint="cs"/>
          <w:rtl/>
        </w:rPr>
        <w:t>ה</w:t>
      </w:r>
      <w:r w:rsidR="00AF2AC9" w:rsidRPr="00EE1138">
        <w:rPr>
          <w:rFonts w:ascii="Arial" w:hAnsi="Arial" w:cs="Arial" w:hint="cs"/>
          <w:rtl/>
        </w:rPr>
        <w:t xml:space="preserve">השקעה </w:t>
      </w:r>
      <w:r w:rsidRPr="00EE1138">
        <w:rPr>
          <w:rFonts w:ascii="Arial" w:hAnsi="Arial" w:cs="Arial" w:hint="cs"/>
          <w:rtl/>
        </w:rPr>
        <w:t>ה</w:t>
      </w:r>
      <w:r w:rsidR="00AF2AC9" w:rsidRPr="00EE1138">
        <w:rPr>
          <w:rFonts w:ascii="Arial" w:hAnsi="Arial" w:cs="Arial" w:hint="cs"/>
          <w:rtl/>
        </w:rPr>
        <w:t xml:space="preserve">גבוהה </w:t>
      </w:r>
      <w:r w:rsidR="00FD29DB">
        <w:rPr>
          <w:rFonts w:ascii="Arial" w:hAnsi="Arial" w:cs="Arial" w:hint="cs"/>
          <w:rtl/>
        </w:rPr>
        <w:t xml:space="preserve">ביותר </w:t>
      </w:r>
      <w:r w:rsidR="00AF2AC9" w:rsidRPr="00EE1138">
        <w:rPr>
          <w:rFonts w:ascii="Arial" w:hAnsi="Arial" w:cs="Arial" w:hint="cs"/>
          <w:rtl/>
        </w:rPr>
        <w:t>של חברות ישראליות בחו"ל הייתה בהולנד (4</w:t>
      </w:r>
      <w:r w:rsidRPr="00EE1138">
        <w:rPr>
          <w:rFonts w:ascii="Arial" w:hAnsi="Arial" w:cs="Arial" w:hint="cs"/>
          <w:rtl/>
        </w:rPr>
        <w:t>8.8</w:t>
      </w:r>
      <w:r w:rsidR="00AF2AC9" w:rsidRPr="00EE1138">
        <w:rPr>
          <w:rFonts w:ascii="Arial" w:hAnsi="Arial" w:cs="Arial" w:hint="cs"/>
          <w:rtl/>
        </w:rPr>
        <w:t xml:space="preserve"> מיליארד דולר </w:t>
      </w:r>
      <w:r w:rsidR="002A2EA5">
        <w:rPr>
          <w:rFonts w:ascii="Arial" w:hAnsi="Arial" w:cs="Arial" w:hint="cs"/>
          <w:rtl/>
        </w:rPr>
        <w:t>-</w:t>
      </w:r>
      <w:r w:rsidR="00AF2AC9" w:rsidRPr="00EE1138">
        <w:rPr>
          <w:rFonts w:ascii="Arial" w:hAnsi="Arial" w:cs="Arial" w:hint="cs"/>
          <w:rtl/>
        </w:rPr>
        <w:t xml:space="preserve"> </w:t>
      </w:r>
      <w:r w:rsidRPr="00EE1138">
        <w:rPr>
          <w:rFonts w:ascii="Arial" w:hAnsi="Arial" w:cs="Arial" w:hint="cs"/>
          <w:rtl/>
        </w:rPr>
        <w:t>48.6</w:t>
      </w:r>
      <w:r w:rsidR="00AF2AC9" w:rsidRPr="00EE1138">
        <w:rPr>
          <w:rFonts w:ascii="Arial" w:hAnsi="Arial" w:cs="Arial" w:hint="cs"/>
          <w:rtl/>
        </w:rPr>
        <w:t>%</w:t>
      </w:r>
      <w:r w:rsidR="00023571" w:rsidRPr="00EE1138">
        <w:rPr>
          <w:rFonts w:ascii="Arial" w:hAnsi="Arial" w:cs="Arial" w:hint="cs"/>
          <w:rtl/>
        </w:rPr>
        <w:t xml:space="preserve"> </w:t>
      </w:r>
      <w:r w:rsidR="00AF2AC9" w:rsidRPr="00EE1138">
        <w:rPr>
          <w:rFonts w:ascii="Arial" w:hAnsi="Arial" w:cs="Arial" w:hint="cs"/>
          <w:rtl/>
        </w:rPr>
        <w:t>מסך יתרת ההשקעות)</w:t>
      </w:r>
      <w:r w:rsidR="00FD29DB">
        <w:rPr>
          <w:rFonts w:ascii="Arial" w:hAnsi="Arial" w:cs="Arial" w:hint="cs"/>
          <w:rtl/>
        </w:rPr>
        <w:t>,</w:t>
      </w:r>
      <w:r w:rsidR="00AF2AC9" w:rsidRPr="00EE1138">
        <w:rPr>
          <w:rFonts w:ascii="Arial" w:hAnsi="Arial" w:cs="Arial" w:hint="cs"/>
          <w:rtl/>
        </w:rPr>
        <w:t xml:space="preserve"> </w:t>
      </w:r>
      <w:r w:rsidR="00FD29DB">
        <w:rPr>
          <w:rFonts w:ascii="Arial" w:hAnsi="Arial" w:cs="Arial" w:hint="cs"/>
          <w:rtl/>
        </w:rPr>
        <w:t>ו</w:t>
      </w:r>
      <w:r w:rsidR="00AF2AC9" w:rsidRPr="00EE1138">
        <w:rPr>
          <w:rFonts w:ascii="Arial" w:hAnsi="Arial" w:cs="Arial" w:hint="cs"/>
          <w:rtl/>
        </w:rPr>
        <w:t xml:space="preserve">מתוכה </w:t>
      </w:r>
      <w:r w:rsidR="00EE1138" w:rsidRPr="00EE1138">
        <w:rPr>
          <w:rFonts w:ascii="Arial" w:hAnsi="Arial" w:cs="Arial" w:hint="cs"/>
          <w:rtl/>
        </w:rPr>
        <w:t>44.1</w:t>
      </w:r>
      <w:r w:rsidR="00AF2AC9" w:rsidRPr="00EE1138">
        <w:rPr>
          <w:rFonts w:ascii="Arial" w:hAnsi="Arial" w:cs="Arial" w:hint="cs"/>
          <w:rtl/>
        </w:rPr>
        <w:t xml:space="preserve"> מיליארד דולר</w:t>
      </w:r>
      <w:r w:rsidR="00461945">
        <w:rPr>
          <w:rFonts w:ascii="Arial" w:hAnsi="Arial" w:cs="Arial" w:hint="cs"/>
          <w:rtl/>
        </w:rPr>
        <w:t xml:space="preserve"> הושקעו ע"י </w:t>
      </w:r>
      <w:r w:rsidR="00461945" w:rsidRPr="00EE1138">
        <w:rPr>
          <w:rFonts w:ascii="Arial" w:hAnsi="Arial" w:cs="Arial" w:hint="cs"/>
          <w:rtl/>
        </w:rPr>
        <w:t>חברות ישראליות</w:t>
      </w:r>
      <w:r w:rsidR="00AF2AC9" w:rsidRPr="00EE1138">
        <w:rPr>
          <w:rFonts w:ascii="Arial" w:hAnsi="Arial" w:cs="Arial" w:hint="cs"/>
          <w:rtl/>
        </w:rPr>
        <w:t xml:space="preserve"> </w:t>
      </w:r>
      <w:r w:rsidR="00461945">
        <w:rPr>
          <w:rFonts w:ascii="Arial" w:hAnsi="Arial" w:cs="Arial" w:hint="cs"/>
          <w:rtl/>
        </w:rPr>
        <w:t>מענ</w:t>
      </w:r>
      <w:r w:rsidR="006A392D">
        <w:rPr>
          <w:rFonts w:ascii="Arial" w:hAnsi="Arial" w:cs="Arial" w:hint="cs"/>
          <w:rtl/>
        </w:rPr>
        <w:t>ף</w:t>
      </w:r>
      <w:r w:rsidR="00461945">
        <w:rPr>
          <w:rFonts w:ascii="Arial" w:hAnsi="Arial" w:cs="Arial" w:hint="cs"/>
          <w:rtl/>
        </w:rPr>
        <w:t xml:space="preserve"> ה</w:t>
      </w:r>
      <w:r w:rsidR="00EE1138" w:rsidRPr="00EE1138">
        <w:rPr>
          <w:rFonts w:ascii="Arial" w:hAnsi="Arial" w:cs="Arial" w:hint="cs"/>
          <w:rtl/>
        </w:rPr>
        <w:t>תעש</w:t>
      </w:r>
      <w:r w:rsidR="00EE1138">
        <w:rPr>
          <w:rFonts w:ascii="Arial" w:hAnsi="Arial" w:cs="Arial" w:hint="cs"/>
          <w:rtl/>
        </w:rPr>
        <w:t>י</w:t>
      </w:r>
      <w:r w:rsidR="00EE1138" w:rsidRPr="00EE1138">
        <w:rPr>
          <w:rFonts w:ascii="Arial" w:hAnsi="Arial" w:cs="Arial" w:hint="cs"/>
          <w:rtl/>
        </w:rPr>
        <w:t>יה</w:t>
      </w:r>
      <w:r w:rsidR="00AF2AC9" w:rsidRPr="00EE1138">
        <w:rPr>
          <w:rFonts w:ascii="Arial" w:hAnsi="Arial" w:cs="Arial" w:hint="cs"/>
          <w:rtl/>
        </w:rPr>
        <w:t xml:space="preserve">. השקעות בולטות אחרות היו בארה"ב ובקנדה </w:t>
      </w:r>
      <w:r w:rsidR="00023571" w:rsidRPr="00EE1138">
        <w:rPr>
          <w:rFonts w:ascii="Arial" w:hAnsi="Arial" w:cs="Arial"/>
          <w:rtl/>
        </w:rPr>
        <w:t>-</w:t>
      </w:r>
      <w:r w:rsidR="00AF2AC9" w:rsidRPr="00EE1138">
        <w:rPr>
          <w:rFonts w:ascii="Arial" w:hAnsi="Arial" w:cs="Arial" w:hint="cs"/>
          <w:rtl/>
        </w:rPr>
        <w:t xml:space="preserve"> 10.</w:t>
      </w:r>
      <w:r w:rsidRPr="00EE1138">
        <w:rPr>
          <w:rFonts w:ascii="Arial" w:hAnsi="Arial" w:cs="Arial" w:hint="cs"/>
          <w:rtl/>
        </w:rPr>
        <w:t>9</w:t>
      </w:r>
      <w:r w:rsidR="00AF2AC9" w:rsidRPr="00EE1138">
        <w:rPr>
          <w:rFonts w:ascii="Arial" w:hAnsi="Arial" w:cs="Arial" w:hint="cs"/>
          <w:rtl/>
        </w:rPr>
        <w:t xml:space="preserve"> מיליארד דולר ו-2.</w:t>
      </w:r>
      <w:r w:rsidRPr="00EE1138">
        <w:rPr>
          <w:rFonts w:ascii="Arial" w:hAnsi="Arial" w:cs="Arial" w:hint="cs"/>
          <w:rtl/>
        </w:rPr>
        <w:t>7</w:t>
      </w:r>
      <w:r w:rsidR="00AF2AC9" w:rsidRPr="00EE1138">
        <w:rPr>
          <w:rFonts w:ascii="Arial" w:hAnsi="Arial" w:cs="Arial" w:hint="cs"/>
          <w:rtl/>
        </w:rPr>
        <w:t xml:space="preserve"> מיליארד דולר</w:t>
      </w:r>
      <w:r w:rsidR="00FD29DB">
        <w:rPr>
          <w:rFonts w:ascii="Arial" w:hAnsi="Arial" w:cs="Arial" w:hint="cs"/>
          <w:rtl/>
        </w:rPr>
        <w:t>,</w:t>
      </w:r>
      <w:r w:rsidR="00AF2AC9" w:rsidRPr="00EE1138">
        <w:rPr>
          <w:rFonts w:ascii="Arial" w:hAnsi="Arial" w:cs="Arial" w:hint="cs"/>
          <w:rtl/>
        </w:rPr>
        <w:t xml:space="preserve"> בהתאמה.</w:t>
      </w:r>
    </w:p>
    <w:p w:rsidR="00AF2AC9" w:rsidRPr="0096664D" w:rsidRDefault="003C174D" w:rsidP="001D1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rPr>
          <w:rFonts w:ascii="Arial" w:hAnsi="Arial" w:cs="Arial"/>
          <w:b/>
          <w:bCs/>
          <w:rtl/>
        </w:rPr>
      </w:pPr>
      <w:r w:rsidRPr="0096664D">
        <w:rPr>
          <w:rFonts w:ascii="Arial" w:hAnsi="Arial" w:cs="Arial" w:hint="cs"/>
          <w:b/>
          <w:bCs/>
          <w:rtl/>
        </w:rPr>
        <w:t xml:space="preserve"> </w:t>
      </w:r>
      <w:r w:rsidR="00AF2AC9" w:rsidRPr="0096664D">
        <w:rPr>
          <w:rFonts w:ascii="Arial" w:hAnsi="Arial" w:cs="Arial" w:hint="cs"/>
          <w:b/>
          <w:bCs/>
          <w:rtl/>
        </w:rPr>
        <w:t>תנועות</w:t>
      </w:r>
    </w:p>
    <w:p w:rsidR="00AF2AC9" w:rsidRPr="00F31833" w:rsidRDefault="00AF2AC9" w:rsidP="00E64C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14" w:right="0" w:hanging="357"/>
        <w:rPr>
          <w:rFonts w:ascii="Arial" w:hAnsi="Arial" w:cs="Arial"/>
          <w:rtl/>
        </w:rPr>
      </w:pPr>
      <w:r w:rsidRPr="00F31833">
        <w:rPr>
          <w:rFonts w:ascii="Arial" w:hAnsi="Arial" w:cs="Arial" w:hint="cs"/>
          <w:rtl/>
        </w:rPr>
        <w:t xml:space="preserve">סך ההשקעות </w:t>
      </w:r>
      <w:r w:rsidR="00952CD8">
        <w:rPr>
          <w:rFonts w:ascii="Arial" w:hAnsi="Arial" w:cs="Arial" w:hint="cs"/>
          <w:rtl/>
        </w:rPr>
        <w:t>היוצאות</w:t>
      </w:r>
      <w:r w:rsidRPr="00F31833">
        <w:rPr>
          <w:rFonts w:ascii="Arial" w:hAnsi="Arial" w:cs="Arial" w:hint="cs"/>
          <w:rtl/>
        </w:rPr>
        <w:t xml:space="preserve"> בשנת 201</w:t>
      </w:r>
      <w:r w:rsidR="003842AB">
        <w:rPr>
          <w:rFonts w:ascii="Arial" w:hAnsi="Arial" w:cs="Arial" w:hint="cs"/>
          <w:rtl/>
        </w:rPr>
        <w:t>7</w:t>
      </w:r>
      <w:r w:rsidRPr="00F31833">
        <w:rPr>
          <w:rFonts w:ascii="Arial" w:hAnsi="Arial" w:cs="Arial" w:hint="cs"/>
          <w:rtl/>
        </w:rPr>
        <w:t xml:space="preserve"> הסתכם ב-</w:t>
      </w:r>
      <w:r w:rsidR="003842AB">
        <w:rPr>
          <w:rFonts w:ascii="Arial" w:hAnsi="Arial" w:cs="Arial" w:hint="cs"/>
          <w:rtl/>
        </w:rPr>
        <w:t>6.1</w:t>
      </w:r>
      <w:r w:rsidRPr="00F31833">
        <w:rPr>
          <w:rFonts w:ascii="Arial" w:hAnsi="Arial" w:cs="Arial" w:hint="cs"/>
          <w:rtl/>
        </w:rPr>
        <w:t xml:space="preserve"> מיליארד דולר</w:t>
      </w:r>
      <w:r w:rsidR="00FD29DB">
        <w:rPr>
          <w:rFonts w:ascii="Arial" w:hAnsi="Arial" w:cs="Arial" w:hint="cs"/>
          <w:rtl/>
        </w:rPr>
        <w:t>,</w:t>
      </w:r>
      <w:r w:rsidRPr="00F31833">
        <w:rPr>
          <w:rFonts w:ascii="Arial" w:hAnsi="Arial" w:cs="Arial" w:hint="cs"/>
          <w:rtl/>
        </w:rPr>
        <w:t xml:space="preserve"> מ</w:t>
      </w:r>
      <w:r w:rsidR="002A2EA5">
        <w:rPr>
          <w:rFonts w:ascii="Arial" w:hAnsi="Arial" w:cs="Arial" w:hint="cs"/>
          <w:rtl/>
        </w:rPr>
        <w:t>ז</w:t>
      </w:r>
      <w:r w:rsidRPr="00F31833">
        <w:rPr>
          <w:rFonts w:ascii="Arial" w:hAnsi="Arial" w:cs="Arial" w:hint="cs"/>
          <w:rtl/>
        </w:rPr>
        <w:t xml:space="preserve">ה </w:t>
      </w:r>
      <w:r w:rsidR="003842AB">
        <w:rPr>
          <w:rFonts w:ascii="Arial" w:hAnsi="Arial" w:cs="Arial" w:hint="cs"/>
          <w:rtl/>
        </w:rPr>
        <w:t>3.6</w:t>
      </w:r>
      <w:r w:rsidRPr="00F31833">
        <w:rPr>
          <w:rFonts w:ascii="Arial" w:hAnsi="Arial" w:cs="Arial" w:hint="cs"/>
          <w:rtl/>
        </w:rPr>
        <w:t xml:space="preserve"> מיליארד דולר (</w:t>
      </w:r>
      <w:r w:rsidR="003842AB">
        <w:rPr>
          <w:rFonts w:ascii="Arial" w:hAnsi="Arial" w:cs="Arial" w:hint="cs"/>
          <w:rtl/>
        </w:rPr>
        <w:t>59.</w:t>
      </w:r>
      <w:r w:rsidR="00B62CF9">
        <w:rPr>
          <w:rFonts w:ascii="Arial" w:hAnsi="Arial" w:cs="Arial" w:hint="cs"/>
          <w:rtl/>
        </w:rPr>
        <w:t>3</w:t>
      </w:r>
      <w:r w:rsidRPr="00F31833">
        <w:rPr>
          <w:rFonts w:ascii="Arial" w:hAnsi="Arial" w:cs="Arial" w:hint="cs"/>
          <w:rtl/>
        </w:rPr>
        <w:t xml:space="preserve">%) </w:t>
      </w:r>
      <w:r w:rsidR="00E64CF9">
        <w:rPr>
          <w:rFonts w:ascii="Arial" w:hAnsi="Arial" w:cs="Arial" w:hint="cs"/>
          <w:rtl/>
        </w:rPr>
        <w:t>היו של חברות מ</w:t>
      </w:r>
      <w:r w:rsidRPr="00F31833">
        <w:rPr>
          <w:rFonts w:ascii="Arial" w:hAnsi="Arial" w:cs="Arial" w:hint="cs"/>
          <w:rtl/>
        </w:rPr>
        <w:t xml:space="preserve">ענף </w:t>
      </w:r>
      <w:r w:rsidRPr="00F31833">
        <w:rPr>
          <w:rFonts w:ascii="Arial" w:hAnsi="Arial" w:cs="Arial"/>
          <w:rtl/>
        </w:rPr>
        <w:t>ייצור מוצרי נפט, כימיקלים ותרופות</w:t>
      </w:r>
      <w:r w:rsidRPr="00F31833">
        <w:rPr>
          <w:rFonts w:ascii="Arial" w:hAnsi="Arial" w:cs="Arial" w:hint="cs"/>
          <w:rtl/>
        </w:rPr>
        <w:t>.</w:t>
      </w:r>
    </w:p>
    <w:p w:rsidR="002D2A25" w:rsidRPr="002D2A25" w:rsidRDefault="002D2A25" w:rsidP="002D2A25">
      <w:pPr>
        <w:spacing w:before="240" w:line="360" w:lineRule="auto"/>
        <w:jc w:val="center"/>
        <w:rPr>
          <w:rFonts w:asciiTheme="minorBidi" w:hAnsiTheme="minorBidi" w:cstheme="minorBidi"/>
          <w:rtl/>
        </w:rPr>
      </w:pPr>
      <w:r w:rsidRPr="002D2A25">
        <w:rPr>
          <w:rFonts w:asciiTheme="minorBidi" w:hAnsiTheme="minorBidi" w:cstheme="minorBidi"/>
          <w:b/>
          <w:bCs/>
          <w:rtl/>
        </w:rPr>
        <w:t>תרשים</w:t>
      </w:r>
      <w:r w:rsidRPr="002D2A25">
        <w:rPr>
          <w:rFonts w:asciiTheme="minorBidi" w:hAnsiTheme="minorBidi" w:cstheme="minorBidi"/>
          <w:b/>
          <w:bCs/>
        </w:rPr>
        <w:t xml:space="preserve"> </w:t>
      </w:r>
      <w:r w:rsidRPr="002D2A25">
        <w:rPr>
          <w:rFonts w:asciiTheme="minorBidi" w:hAnsiTheme="minorBidi" w:cstheme="minorBidi"/>
          <w:b/>
          <w:bCs/>
          <w:rtl/>
        </w:rPr>
        <w:t>1</w:t>
      </w:r>
      <w:r>
        <w:rPr>
          <w:rFonts w:asciiTheme="minorBidi" w:hAnsiTheme="minorBidi" w:cstheme="minorBidi" w:hint="cs"/>
          <w:rtl/>
        </w:rPr>
        <w:t xml:space="preserve"> - </w:t>
      </w:r>
      <w:r w:rsidRPr="002D2A25">
        <w:rPr>
          <w:rFonts w:asciiTheme="minorBidi" w:hAnsiTheme="minorBidi" w:cstheme="minorBidi"/>
          <w:b/>
          <w:bCs/>
          <w:rtl/>
        </w:rPr>
        <w:t>יתרות</w:t>
      </w:r>
      <w:r w:rsidRPr="002D2A25">
        <w:rPr>
          <w:rFonts w:asciiTheme="minorBidi" w:hAnsiTheme="minorBidi" w:cstheme="minorBidi"/>
          <w:b/>
          <w:bCs/>
        </w:rPr>
        <w:t xml:space="preserve"> </w:t>
      </w:r>
      <w:r w:rsidRPr="002D2A25">
        <w:rPr>
          <w:rFonts w:asciiTheme="minorBidi" w:hAnsiTheme="minorBidi" w:cstheme="minorBidi"/>
          <w:b/>
          <w:bCs/>
          <w:rtl/>
        </w:rPr>
        <w:t>ההשקעות הישירות בשנים</w:t>
      </w:r>
      <w:r w:rsidRPr="002D2A25">
        <w:rPr>
          <w:rFonts w:asciiTheme="minorBidi" w:hAnsiTheme="minorBidi" w:cstheme="minorBidi"/>
          <w:b/>
          <w:bCs/>
        </w:rPr>
        <w:t xml:space="preserve"> </w:t>
      </w:r>
      <w:r w:rsidRPr="002D2A25">
        <w:rPr>
          <w:rFonts w:asciiTheme="minorBidi" w:hAnsiTheme="minorBidi" w:cstheme="minorBidi"/>
          <w:b/>
          <w:bCs/>
          <w:rtl/>
        </w:rPr>
        <w:t>201</w:t>
      </w:r>
      <w:r>
        <w:rPr>
          <w:rFonts w:asciiTheme="minorBidi" w:hAnsiTheme="minorBidi" w:cstheme="minorBidi" w:hint="cs"/>
          <w:b/>
          <w:bCs/>
          <w:rtl/>
        </w:rPr>
        <w:t>7</w:t>
      </w:r>
      <w:r w:rsidRPr="002D2A25">
        <w:rPr>
          <w:rFonts w:asciiTheme="minorBidi" w:hAnsiTheme="minorBidi" w:cstheme="minorBidi"/>
          <w:b/>
          <w:bCs/>
          <w:rtl/>
        </w:rPr>
        <w:t>-201</w:t>
      </w:r>
      <w:r>
        <w:rPr>
          <w:rFonts w:asciiTheme="minorBidi" w:hAnsiTheme="minorBidi" w:cstheme="minorBidi" w:hint="cs"/>
          <w:b/>
          <w:bCs/>
          <w:rtl/>
        </w:rPr>
        <w:t>5</w:t>
      </w:r>
    </w:p>
    <w:p w:rsidR="00CE0AF4" w:rsidRPr="002D2A25" w:rsidRDefault="007D5A0D" w:rsidP="005E7AB9">
      <w:pPr>
        <w:spacing w:line="360" w:lineRule="auto"/>
        <w:jc w:val="center"/>
        <w:rPr>
          <w:i/>
          <w:iCs/>
        </w:rPr>
      </w:pPr>
      <w:r>
        <w:rPr>
          <w:i/>
          <w:iCs/>
          <w:noProof/>
          <w:lang w:eastAsia="en-US"/>
        </w:rPr>
        <w:drawing>
          <wp:inline distT="0" distB="0" distL="0" distR="0" wp14:anchorId="77375AD1" wp14:editId="21A40CD2">
            <wp:extent cx="6236898" cy="2861953"/>
            <wp:effectExtent l="0" t="0" r="0" b="0"/>
            <wp:docPr id="38" name="Picture 38" descr="תרשים 1 - יתרות ההשקעות הישירות בשנים 2017-2015" title="תרשים 1 - יתרות ההשקעות הישירות בשנים 2017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050" cy="286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EB5" w:rsidRPr="00746D36" w:rsidRDefault="0004617C" w:rsidP="00576FA7">
      <w:pPr>
        <w:spacing w:before="360" w:line="360" w:lineRule="auto"/>
        <w:rPr>
          <w:rFonts w:ascii="Arial" w:hAnsi="Arial" w:cs="Arial"/>
          <w:rtl/>
        </w:rPr>
      </w:pPr>
      <w:r w:rsidRPr="00746D36">
        <w:rPr>
          <w:rFonts w:ascii="Arial" w:hAnsi="Arial" w:cs="Arial"/>
          <w:rtl/>
        </w:rPr>
        <w:t xml:space="preserve">מקורות </w:t>
      </w:r>
      <w:r w:rsidR="00780EB5" w:rsidRPr="00746D36">
        <w:rPr>
          <w:rFonts w:ascii="Arial" w:hAnsi="Arial" w:cs="Arial"/>
          <w:rtl/>
        </w:rPr>
        <w:t xml:space="preserve">הנתונים </w:t>
      </w:r>
      <w:r w:rsidRPr="00746D36">
        <w:rPr>
          <w:rFonts w:ascii="Arial" w:hAnsi="Arial" w:cs="Arial"/>
          <w:rtl/>
        </w:rPr>
        <w:t>הם</w:t>
      </w:r>
      <w:r w:rsidR="00780EB5" w:rsidRPr="00746D36">
        <w:rPr>
          <w:rFonts w:ascii="Arial" w:hAnsi="Arial" w:cs="Arial"/>
          <w:rtl/>
        </w:rPr>
        <w:t xml:space="preserve"> </w:t>
      </w:r>
      <w:r w:rsidR="0098575A" w:rsidRPr="00746D36">
        <w:rPr>
          <w:rFonts w:ascii="Arial" w:hAnsi="Arial" w:cs="Arial"/>
          <w:rtl/>
        </w:rPr>
        <w:t xml:space="preserve">דיווחים ישירים של </w:t>
      </w:r>
      <w:r w:rsidR="009C1CC3" w:rsidRPr="00746D36">
        <w:rPr>
          <w:rFonts w:ascii="Arial" w:hAnsi="Arial" w:cs="Arial"/>
          <w:rtl/>
        </w:rPr>
        <w:t>חברות</w:t>
      </w:r>
      <w:r w:rsidR="009C1CC3" w:rsidRPr="00746D36">
        <w:rPr>
          <w:rFonts w:ascii="Arial" w:hAnsi="Arial" w:cs="Arial" w:hint="cs"/>
          <w:rtl/>
        </w:rPr>
        <w:t xml:space="preserve"> ו</w:t>
      </w:r>
      <w:r w:rsidR="009C1CC3" w:rsidRPr="00746D36">
        <w:rPr>
          <w:rFonts w:ascii="Arial" w:hAnsi="Arial" w:cs="Arial"/>
          <w:rtl/>
        </w:rPr>
        <w:t xml:space="preserve">דיווחים מהמערכת הבנקאית </w:t>
      </w:r>
      <w:r w:rsidR="0098575A" w:rsidRPr="00746D36">
        <w:rPr>
          <w:rFonts w:ascii="Arial" w:hAnsi="Arial" w:cs="Arial"/>
          <w:rtl/>
        </w:rPr>
        <w:t>הנאספים ע</w:t>
      </w:r>
      <w:r w:rsidR="00576FA7">
        <w:rPr>
          <w:rFonts w:ascii="Arial" w:hAnsi="Arial" w:cs="Arial" w:hint="cs"/>
          <w:rtl/>
        </w:rPr>
        <w:t>ל ידי</w:t>
      </w:r>
      <w:r w:rsidR="0098575A" w:rsidRPr="00746D36">
        <w:rPr>
          <w:rFonts w:ascii="Arial" w:hAnsi="Arial" w:cs="Arial"/>
          <w:rtl/>
        </w:rPr>
        <w:t xml:space="preserve"> בנק ישראל והלשכה המרכזית לסטטיסטיקה</w:t>
      </w:r>
      <w:r w:rsidR="00AE0F75" w:rsidRPr="00746D36">
        <w:rPr>
          <w:rFonts w:ascii="Arial" w:hAnsi="Arial" w:cs="Arial"/>
          <w:rtl/>
        </w:rPr>
        <w:t>.</w:t>
      </w:r>
    </w:p>
    <w:p w:rsidR="00F31833" w:rsidRDefault="00725C1B" w:rsidP="00576FA7">
      <w:pPr>
        <w:spacing w:before="240" w:line="360" w:lineRule="auto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746D36">
        <w:rPr>
          <w:rFonts w:ascii="Arial" w:hAnsi="Arial" w:cs="Arial"/>
          <w:rtl/>
        </w:rPr>
        <w:t>ההשקעות הישירות נכללות ב</w:t>
      </w:r>
      <w:r w:rsidR="00967E28" w:rsidRPr="00746D36">
        <w:rPr>
          <w:rFonts w:ascii="Arial" w:hAnsi="Arial" w:cs="Arial"/>
          <w:rtl/>
        </w:rPr>
        <w:t>הודעה הרבעונית</w:t>
      </w:r>
      <w:r w:rsidR="00967E28" w:rsidRPr="00F31833">
        <w:rPr>
          <w:rFonts w:asciiTheme="minorBidi" w:hAnsiTheme="minorBidi" w:cstheme="minorBidi"/>
          <w:rtl/>
        </w:rPr>
        <w:t xml:space="preserve"> </w:t>
      </w:r>
      <w:hyperlink r:id="rId10" w:history="1">
        <w:r w:rsidR="00967E28" w:rsidRPr="00F31833">
          <w:rPr>
            <w:rStyle w:val="Hyperlink"/>
            <w:rFonts w:asciiTheme="minorBidi" w:hAnsiTheme="minorBidi" w:cstheme="minorBidi"/>
            <w:rtl/>
          </w:rPr>
          <w:t>"סיכום מאזן התשלומים של ישראל</w:t>
        </w:r>
      </w:hyperlink>
      <w:r w:rsidR="00967E28" w:rsidRPr="00F31833">
        <w:rPr>
          <w:rFonts w:asciiTheme="minorBidi" w:hAnsiTheme="minorBidi" w:cstheme="minorBidi"/>
          <w:rtl/>
        </w:rPr>
        <w:t>"</w:t>
      </w:r>
      <w:r w:rsidRPr="00F31833">
        <w:rPr>
          <w:rFonts w:asciiTheme="minorBidi" w:hAnsiTheme="minorBidi" w:cstheme="minorBidi"/>
          <w:rtl/>
        </w:rPr>
        <w:t xml:space="preserve">. </w:t>
      </w:r>
      <w:r w:rsidR="006403E6" w:rsidRPr="00746D36">
        <w:rPr>
          <w:rFonts w:ascii="Arial" w:hAnsi="Arial" w:cs="Arial"/>
          <w:rtl/>
        </w:rPr>
        <w:t>תנועות ההשקעה נכללות</w:t>
      </w:r>
      <w:r w:rsidR="006403E6" w:rsidRPr="00F31833">
        <w:rPr>
          <w:rFonts w:asciiTheme="minorBidi" w:hAnsiTheme="minorBidi" w:cstheme="minorBidi"/>
          <w:rtl/>
        </w:rPr>
        <w:t xml:space="preserve"> </w:t>
      </w:r>
      <w:r w:rsidR="006403E6" w:rsidRPr="00746D36">
        <w:rPr>
          <w:rFonts w:ascii="Arial" w:hAnsi="Arial" w:cs="Arial"/>
          <w:rtl/>
        </w:rPr>
        <w:t>בלוח</w:t>
      </w:r>
      <w:r w:rsidR="006403E6" w:rsidRPr="00F31833">
        <w:rPr>
          <w:rFonts w:asciiTheme="minorBidi" w:hAnsiTheme="minorBidi" w:cstheme="minorBidi"/>
          <w:rtl/>
        </w:rPr>
        <w:t xml:space="preserve"> </w:t>
      </w:r>
      <w:r w:rsidR="006403E6" w:rsidRPr="00746D36">
        <w:rPr>
          <w:rFonts w:ascii="Arial" w:hAnsi="Arial" w:cs="Arial"/>
          <w:rtl/>
        </w:rPr>
        <w:t>7</w:t>
      </w:r>
      <w:r w:rsidR="006403E6" w:rsidRPr="0097344B">
        <w:rPr>
          <w:rStyle w:val="Hyperlink"/>
          <w:rtl/>
        </w:rPr>
        <w:t xml:space="preserve">: </w:t>
      </w:r>
      <w:hyperlink r:id="rId11" w:history="1">
        <w:r w:rsidR="006403E6" w:rsidRPr="0097344B">
          <w:rPr>
            <w:rStyle w:val="Hyperlink"/>
            <w:rtl/>
          </w:rPr>
          <w:t>"</w:t>
        </w:r>
        <w:r w:rsidR="0097344B" w:rsidRPr="0097344B">
          <w:rPr>
            <w:rStyle w:val="Hyperlink"/>
            <w:rFonts w:asciiTheme="minorBidi" w:hAnsiTheme="minorBidi" w:cstheme="minorBidi" w:hint="cs"/>
            <w:rtl/>
          </w:rPr>
          <w:t>החשבון</w:t>
        </w:r>
        <w:r w:rsidR="0097344B" w:rsidRPr="0097344B">
          <w:rPr>
            <w:rStyle w:val="Hyperlink"/>
            <w:rFonts w:hint="cs"/>
            <w:rtl/>
          </w:rPr>
          <w:t xml:space="preserve"> </w:t>
        </w:r>
        <w:r w:rsidR="0097344B" w:rsidRPr="0097344B">
          <w:rPr>
            <w:rStyle w:val="Hyperlink"/>
            <w:rFonts w:asciiTheme="minorBidi" w:hAnsiTheme="minorBidi" w:cstheme="minorBidi"/>
            <w:rtl/>
          </w:rPr>
          <w:t>הפיננסי</w:t>
        </w:r>
        <w:r w:rsidR="006403E6" w:rsidRPr="0097344B">
          <w:rPr>
            <w:rStyle w:val="Hyperlink"/>
            <w:rFonts w:asciiTheme="minorBidi" w:hAnsiTheme="minorBidi" w:cstheme="minorBidi"/>
            <w:rtl/>
          </w:rPr>
          <w:t>"</w:t>
        </w:r>
      </w:hyperlink>
      <w:r w:rsidR="0018513E" w:rsidRPr="00F31833">
        <w:rPr>
          <w:rFonts w:asciiTheme="minorBidi" w:hAnsiTheme="minorBidi" w:cstheme="minorBidi"/>
          <w:rtl/>
        </w:rPr>
        <w:t xml:space="preserve"> </w:t>
      </w:r>
      <w:r w:rsidR="0018513E" w:rsidRPr="00746D36">
        <w:rPr>
          <w:rFonts w:ascii="Arial" w:hAnsi="Arial" w:cs="Arial"/>
          <w:rtl/>
        </w:rPr>
        <w:t xml:space="preserve">ויתרות ההשקעה </w:t>
      </w:r>
      <w:r w:rsidR="00DE5635" w:rsidRPr="00746D36">
        <w:rPr>
          <w:rFonts w:ascii="Arial" w:hAnsi="Arial" w:cs="Arial"/>
          <w:rtl/>
        </w:rPr>
        <w:t>נכללות בלוח</w:t>
      </w:r>
      <w:r w:rsidR="00DE5635" w:rsidRPr="00F31833">
        <w:rPr>
          <w:rFonts w:asciiTheme="minorBidi" w:hAnsiTheme="minorBidi" w:cstheme="minorBidi"/>
          <w:rtl/>
        </w:rPr>
        <w:t xml:space="preserve"> </w:t>
      </w:r>
      <w:r w:rsidR="00DE5635" w:rsidRPr="00746D36">
        <w:rPr>
          <w:rFonts w:ascii="Arial" w:hAnsi="Arial" w:cs="Arial"/>
          <w:rtl/>
        </w:rPr>
        <w:t>8</w:t>
      </w:r>
      <w:r w:rsidR="00DE5635" w:rsidRPr="00F31833">
        <w:rPr>
          <w:rFonts w:asciiTheme="minorBidi" w:hAnsiTheme="minorBidi" w:cstheme="minorBidi"/>
          <w:rtl/>
        </w:rPr>
        <w:t xml:space="preserve">: </w:t>
      </w:r>
      <w:hyperlink r:id="rId12" w:history="1">
        <w:r w:rsidR="00DE5635" w:rsidRPr="0097344B">
          <w:rPr>
            <w:rStyle w:val="Hyperlink"/>
            <w:rFonts w:asciiTheme="minorBidi" w:hAnsiTheme="minorBidi" w:cstheme="minorBidi"/>
            <w:rtl/>
          </w:rPr>
          <w:t>"</w:t>
        </w:r>
        <w:r w:rsidR="0097344B" w:rsidRPr="0097344B">
          <w:rPr>
            <w:rStyle w:val="Hyperlink"/>
            <w:rFonts w:asciiTheme="minorBidi" w:hAnsiTheme="minorBidi" w:cstheme="minorBidi" w:hint="cs"/>
            <w:rtl/>
          </w:rPr>
          <w:t>הנכסים וההתחייבויות של המשק בחו"ל</w:t>
        </w:r>
      </w:hyperlink>
      <w:r w:rsidR="00DE5635" w:rsidRPr="00F31833">
        <w:rPr>
          <w:rFonts w:asciiTheme="minorBidi" w:hAnsiTheme="minorBidi" w:cstheme="minorBidi"/>
          <w:rtl/>
        </w:rPr>
        <w:t>"</w:t>
      </w:r>
      <w:r w:rsidR="006403E6" w:rsidRPr="00F31833">
        <w:rPr>
          <w:rFonts w:asciiTheme="minorBidi" w:hAnsiTheme="minorBidi" w:cstheme="minorBidi"/>
          <w:rtl/>
        </w:rPr>
        <w:t>.</w:t>
      </w:r>
      <w:r w:rsidR="00F31833" w:rsidRPr="0065235D">
        <w:rPr>
          <w:rFonts w:ascii="Arial" w:hAnsi="Arial" w:cs="Arial"/>
          <w:sz w:val="22"/>
          <w:szCs w:val="22"/>
          <w:lang w:eastAsia="en-US"/>
        </w:rPr>
        <w:br w:type="page"/>
      </w:r>
    </w:p>
    <w:p w:rsidR="006B5054" w:rsidRPr="00893CA6" w:rsidRDefault="00952CD8" w:rsidP="00893CA6">
      <w:pPr>
        <w:pStyle w:val="Heading2"/>
        <w:rPr>
          <w:rtl/>
        </w:rPr>
      </w:pPr>
      <w:r w:rsidRPr="00746D36">
        <w:rPr>
          <w:rFonts w:ascii="Arial" w:hAnsi="Arial" w:cs="Arial"/>
          <w:rtl/>
        </w:rPr>
        <w:lastRenderedPageBreak/>
        <w:t xml:space="preserve">השקעות נכנסות </w:t>
      </w:r>
      <w:r w:rsidR="00D5670F" w:rsidRPr="00893CA6">
        <w:rPr>
          <w:rFonts w:hint="cs"/>
          <w:rtl/>
        </w:rPr>
        <w:t>(</w:t>
      </w:r>
      <w:r w:rsidR="00D5670F" w:rsidRPr="00893CA6">
        <w:t>IN</w:t>
      </w:r>
      <w:r w:rsidR="00D5670F" w:rsidRPr="00893CA6">
        <w:rPr>
          <w:rFonts w:hint="cs"/>
          <w:rtl/>
        </w:rPr>
        <w:t>)</w:t>
      </w:r>
    </w:p>
    <w:p w:rsidR="006B5054" w:rsidRPr="00893CA6" w:rsidRDefault="006B5054" w:rsidP="00C12CA8">
      <w:pPr>
        <w:pStyle w:val="3"/>
        <w:rPr>
          <w:rtl/>
        </w:rPr>
      </w:pPr>
      <w:r w:rsidRPr="00893CA6">
        <w:rPr>
          <w:rFonts w:hint="cs"/>
          <w:rtl/>
        </w:rPr>
        <w:t>יתרות</w:t>
      </w:r>
      <w:r w:rsidR="00A52778" w:rsidRPr="00893CA6">
        <w:rPr>
          <w:rFonts w:hint="cs"/>
          <w:rtl/>
        </w:rPr>
        <w:t xml:space="preserve"> </w:t>
      </w:r>
      <w:r w:rsidR="00E83408" w:rsidRPr="00893CA6">
        <w:rPr>
          <w:rFonts w:hint="cs"/>
          <w:rtl/>
        </w:rPr>
        <w:t>השקעות נכנסות</w:t>
      </w:r>
      <w:r w:rsidR="00B3274C" w:rsidRPr="00893CA6">
        <w:rPr>
          <w:rFonts w:hint="cs"/>
          <w:rtl/>
        </w:rPr>
        <w:t xml:space="preserve"> (לוחות </w:t>
      </w:r>
      <w:r w:rsidR="001E0C82" w:rsidRPr="00893CA6">
        <w:rPr>
          <w:rFonts w:hint="cs"/>
          <w:rtl/>
        </w:rPr>
        <w:t>4-1</w:t>
      </w:r>
      <w:r w:rsidR="00B3274C" w:rsidRPr="00893CA6">
        <w:rPr>
          <w:rFonts w:hint="cs"/>
          <w:rtl/>
        </w:rPr>
        <w:t>)</w:t>
      </w:r>
    </w:p>
    <w:p w:rsidR="00E44BB9" w:rsidRPr="001859BE" w:rsidRDefault="00331569" w:rsidP="00952CD8">
      <w:pPr>
        <w:pStyle w:val="BodyText2"/>
        <w:spacing w:before="120" w:line="360" w:lineRule="auto"/>
        <w:jc w:val="left"/>
        <w:rPr>
          <w:rtl/>
        </w:rPr>
      </w:pPr>
      <w:r w:rsidRPr="001859BE">
        <w:rPr>
          <w:rFonts w:hint="cs"/>
          <w:rtl/>
        </w:rPr>
        <w:t xml:space="preserve">יתרת ההשקעות </w:t>
      </w:r>
      <w:r w:rsidR="00952CD8">
        <w:rPr>
          <w:rFonts w:hint="cs"/>
          <w:rtl/>
        </w:rPr>
        <w:t xml:space="preserve"> הנכנסות </w:t>
      </w:r>
      <w:r w:rsidRPr="001859BE">
        <w:rPr>
          <w:rFonts w:hint="cs"/>
          <w:rtl/>
        </w:rPr>
        <w:t>ב</w:t>
      </w:r>
      <w:r w:rsidR="00A7058B" w:rsidRPr="001859BE">
        <w:rPr>
          <w:rFonts w:hint="cs"/>
          <w:rtl/>
        </w:rPr>
        <w:t xml:space="preserve">סוף </w:t>
      </w:r>
      <w:r w:rsidRPr="001859BE">
        <w:rPr>
          <w:rFonts w:hint="cs"/>
          <w:rtl/>
        </w:rPr>
        <w:t xml:space="preserve">שנת </w:t>
      </w:r>
      <w:r w:rsidR="00D01DBF" w:rsidRPr="001859BE">
        <w:rPr>
          <w:rFonts w:hint="cs"/>
          <w:rtl/>
        </w:rPr>
        <w:t>201</w:t>
      </w:r>
      <w:r w:rsidR="00D504C7">
        <w:rPr>
          <w:rFonts w:hint="cs"/>
          <w:rtl/>
        </w:rPr>
        <w:t>7</w:t>
      </w:r>
      <w:r w:rsidRPr="001859BE">
        <w:rPr>
          <w:rFonts w:hint="cs"/>
          <w:rtl/>
        </w:rPr>
        <w:t xml:space="preserve"> הסתכמה ב-</w:t>
      </w:r>
      <w:r w:rsidR="00D504C7">
        <w:rPr>
          <w:rFonts w:hint="cs"/>
          <w:rtl/>
        </w:rPr>
        <w:t>129.1</w:t>
      </w:r>
      <w:r w:rsidRPr="001859BE">
        <w:rPr>
          <w:rFonts w:hint="cs"/>
          <w:rtl/>
        </w:rPr>
        <w:t xml:space="preserve"> מיליארד </w:t>
      </w:r>
      <w:r w:rsidR="00B35AA3" w:rsidRPr="001859BE">
        <w:rPr>
          <w:rFonts w:hint="cs"/>
          <w:rtl/>
        </w:rPr>
        <w:t>דולר</w:t>
      </w:r>
      <w:r w:rsidR="00835F7E" w:rsidRPr="001859BE">
        <w:rPr>
          <w:rFonts w:hint="cs"/>
          <w:rtl/>
        </w:rPr>
        <w:t xml:space="preserve">, </w:t>
      </w:r>
      <w:r w:rsidRPr="001859BE">
        <w:rPr>
          <w:rFonts w:hint="cs"/>
          <w:rtl/>
        </w:rPr>
        <w:t xml:space="preserve">גידול של </w:t>
      </w:r>
      <w:r w:rsidR="00D504C7">
        <w:rPr>
          <w:rFonts w:hint="cs"/>
          <w:rtl/>
        </w:rPr>
        <w:t>20.2</w:t>
      </w:r>
      <w:r w:rsidR="00A43E47" w:rsidRPr="001859BE">
        <w:rPr>
          <w:rFonts w:hint="cs"/>
          <w:rtl/>
        </w:rPr>
        <w:t>% ל</w:t>
      </w:r>
      <w:r w:rsidR="00576FA7">
        <w:rPr>
          <w:rFonts w:hint="cs"/>
          <w:rtl/>
        </w:rPr>
        <w:t>עומ</w:t>
      </w:r>
      <w:r w:rsidR="00A43E47" w:rsidRPr="001859BE">
        <w:rPr>
          <w:rFonts w:hint="cs"/>
          <w:rtl/>
        </w:rPr>
        <w:t xml:space="preserve">ת </w:t>
      </w:r>
      <w:r w:rsidR="00D01DBF" w:rsidRPr="001859BE">
        <w:rPr>
          <w:rFonts w:hint="cs"/>
          <w:rtl/>
        </w:rPr>
        <w:t>201</w:t>
      </w:r>
      <w:r w:rsidR="00D504C7">
        <w:rPr>
          <w:rFonts w:hint="cs"/>
          <w:rtl/>
        </w:rPr>
        <w:t>6</w:t>
      </w:r>
      <w:r w:rsidRPr="001859BE">
        <w:rPr>
          <w:rFonts w:hint="cs"/>
          <w:rtl/>
        </w:rPr>
        <w:t xml:space="preserve"> </w:t>
      </w:r>
      <w:r w:rsidR="00012436">
        <w:rPr>
          <w:rFonts w:hint="cs"/>
          <w:rtl/>
        </w:rPr>
        <w:t>(</w:t>
      </w:r>
      <w:r w:rsidRPr="001859BE">
        <w:rPr>
          <w:rFonts w:hint="cs"/>
          <w:rtl/>
        </w:rPr>
        <w:t>שהסתכמה ב-</w:t>
      </w:r>
      <w:r w:rsidR="00D504C7">
        <w:rPr>
          <w:rFonts w:hint="cs"/>
          <w:rtl/>
        </w:rPr>
        <w:t>107.5</w:t>
      </w:r>
      <w:r w:rsidRPr="001859BE">
        <w:rPr>
          <w:rFonts w:hint="cs"/>
          <w:rtl/>
        </w:rPr>
        <w:t xml:space="preserve"> מיליארד </w:t>
      </w:r>
      <w:r w:rsidR="00B35AA3" w:rsidRPr="001859BE">
        <w:rPr>
          <w:rFonts w:hint="cs"/>
          <w:rtl/>
        </w:rPr>
        <w:t>דולר</w:t>
      </w:r>
      <w:r w:rsidR="00012436">
        <w:rPr>
          <w:rFonts w:hint="cs"/>
          <w:rtl/>
        </w:rPr>
        <w:t>)</w:t>
      </w:r>
      <w:r w:rsidRPr="001859BE">
        <w:rPr>
          <w:rFonts w:hint="cs"/>
          <w:rtl/>
        </w:rPr>
        <w:t xml:space="preserve"> ושל </w:t>
      </w:r>
      <w:r w:rsidR="00D504C7">
        <w:rPr>
          <w:rFonts w:hint="cs"/>
          <w:rtl/>
        </w:rPr>
        <w:t>30</w:t>
      </w:r>
      <w:r w:rsidRPr="001859BE">
        <w:rPr>
          <w:rFonts w:hint="cs"/>
          <w:rtl/>
        </w:rPr>
        <w:t>% ל</w:t>
      </w:r>
      <w:r w:rsidR="00576FA7">
        <w:rPr>
          <w:rFonts w:hint="cs"/>
          <w:rtl/>
        </w:rPr>
        <w:t>עומ</w:t>
      </w:r>
      <w:r w:rsidRPr="001859BE">
        <w:rPr>
          <w:rFonts w:hint="cs"/>
          <w:rtl/>
        </w:rPr>
        <w:t xml:space="preserve">ת </w:t>
      </w:r>
      <w:r w:rsidR="00D01DBF" w:rsidRPr="001859BE">
        <w:rPr>
          <w:rFonts w:hint="cs"/>
          <w:rtl/>
        </w:rPr>
        <w:t>201</w:t>
      </w:r>
      <w:r w:rsidR="00D504C7">
        <w:rPr>
          <w:rFonts w:hint="cs"/>
          <w:rtl/>
        </w:rPr>
        <w:t>5</w:t>
      </w:r>
      <w:r w:rsidRPr="001859BE">
        <w:rPr>
          <w:rFonts w:hint="cs"/>
          <w:rtl/>
        </w:rPr>
        <w:t xml:space="preserve"> </w:t>
      </w:r>
      <w:r w:rsidR="00012436">
        <w:rPr>
          <w:rFonts w:hint="cs"/>
          <w:rtl/>
        </w:rPr>
        <w:t>(</w:t>
      </w:r>
      <w:r w:rsidRPr="001859BE">
        <w:rPr>
          <w:rFonts w:hint="cs"/>
          <w:rtl/>
        </w:rPr>
        <w:t>שהסתכמה ב-</w:t>
      </w:r>
      <w:r w:rsidR="00D504C7">
        <w:rPr>
          <w:rFonts w:hint="cs"/>
          <w:rtl/>
        </w:rPr>
        <w:t>99.3</w:t>
      </w:r>
      <w:r w:rsidRPr="001859BE">
        <w:rPr>
          <w:rFonts w:hint="cs"/>
          <w:rtl/>
        </w:rPr>
        <w:t xml:space="preserve"> מיליארד </w:t>
      </w:r>
      <w:r w:rsidR="00B35AA3" w:rsidRPr="001859BE">
        <w:rPr>
          <w:rFonts w:hint="cs"/>
          <w:rtl/>
        </w:rPr>
        <w:t>דולר</w:t>
      </w:r>
      <w:r w:rsidR="00012436">
        <w:rPr>
          <w:rFonts w:hint="cs"/>
          <w:rtl/>
        </w:rPr>
        <w:t>)</w:t>
      </w:r>
      <w:r w:rsidRPr="001859BE">
        <w:rPr>
          <w:rFonts w:hint="cs"/>
          <w:rtl/>
        </w:rPr>
        <w:t>.</w:t>
      </w:r>
      <w:r w:rsidR="00597326" w:rsidRPr="001859BE">
        <w:rPr>
          <w:rFonts w:hint="cs"/>
          <w:rtl/>
        </w:rPr>
        <w:t xml:space="preserve"> </w:t>
      </w:r>
      <w:r w:rsidRPr="001859BE">
        <w:rPr>
          <w:rFonts w:hint="cs"/>
          <w:rtl/>
        </w:rPr>
        <w:t xml:space="preserve">השקעות אלו כוללות השקעות של תושבי חו"ל, חברות או פרטיים, בשיעור </w:t>
      </w:r>
      <w:r w:rsidR="00A90D79">
        <w:rPr>
          <w:rFonts w:hint="cs"/>
          <w:rtl/>
        </w:rPr>
        <w:t>הגבוה</w:t>
      </w:r>
      <w:r w:rsidR="00012436">
        <w:rPr>
          <w:rFonts w:hint="cs"/>
          <w:rtl/>
        </w:rPr>
        <w:t xml:space="preserve"> מ-</w:t>
      </w:r>
      <w:r w:rsidRPr="001859BE">
        <w:rPr>
          <w:rFonts w:hint="cs"/>
          <w:rtl/>
        </w:rPr>
        <w:t xml:space="preserve">10% מהון המניות של חברות בישראל. כמו כן, ההשקעות הישירות </w:t>
      </w:r>
      <w:r w:rsidR="00012436" w:rsidRPr="001859BE">
        <w:rPr>
          <w:rFonts w:hint="cs"/>
          <w:rtl/>
        </w:rPr>
        <w:t xml:space="preserve">כוללות </w:t>
      </w:r>
      <w:r w:rsidRPr="001859BE">
        <w:rPr>
          <w:rFonts w:hint="cs"/>
          <w:rtl/>
        </w:rPr>
        <w:t>רווחים שנצברו בחברות המוחזקות בישראל והלוואות בעלים לחברות הללו.</w:t>
      </w:r>
    </w:p>
    <w:p w:rsidR="00327275" w:rsidRDefault="007B0F35" w:rsidP="00281655">
      <w:pPr>
        <w:pStyle w:val="4"/>
        <w:spacing w:before="120"/>
        <w:rPr>
          <w:rtl/>
        </w:rPr>
      </w:pPr>
      <w:r w:rsidRPr="00862486">
        <w:rPr>
          <w:rFonts w:hint="cs"/>
          <w:rtl/>
        </w:rPr>
        <w:t xml:space="preserve">יתרות </w:t>
      </w:r>
      <w:r w:rsidR="00187E1D" w:rsidRPr="00862486">
        <w:rPr>
          <w:rFonts w:hint="cs"/>
          <w:rtl/>
        </w:rPr>
        <w:t>השקעות ישירות לפי ענף כלכלי</w:t>
      </w:r>
      <w:r w:rsidR="0014561A" w:rsidRPr="00862486">
        <w:rPr>
          <w:rFonts w:hint="cs"/>
          <w:rtl/>
        </w:rPr>
        <w:t xml:space="preserve"> (לוחות 1 ו-3</w:t>
      </w:r>
      <w:r w:rsidR="00E2408E" w:rsidRPr="00862486">
        <w:rPr>
          <w:rFonts w:hint="cs"/>
          <w:rtl/>
        </w:rPr>
        <w:t>)</w:t>
      </w:r>
    </w:p>
    <w:p w:rsidR="000C7B4B" w:rsidRPr="000C7B4B" w:rsidRDefault="000C7B4B" w:rsidP="00281655">
      <w:pPr>
        <w:pStyle w:val="4"/>
        <w:spacing w:before="120"/>
        <w:jc w:val="center"/>
        <w:rPr>
          <w:sz w:val="22"/>
          <w:szCs w:val="18"/>
          <w:rtl/>
        </w:rPr>
      </w:pPr>
      <w:r w:rsidRPr="000C7B4B">
        <w:rPr>
          <w:rFonts w:ascii="Arial" w:hAnsi="Arial" w:cs="Arial"/>
          <w:sz w:val="24"/>
          <w:rtl/>
          <w:lang w:eastAsia="en-US"/>
        </w:rPr>
        <w:t xml:space="preserve">תרשים 2 </w:t>
      </w:r>
      <w:r w:rsidRPr="000C7B4B">
        <w:rPr>
          <w:rFonts w:ascii="Arial" w:hAnsi="Arial" w:cs="Arial" w:hint="cs"/>
          <w:b w:val="0"/>
          <w:bCs w:val="0"/>
          <w:sz w:val="24"/>
          <w:rtl/>
          <w:lang w:eastAsia="en-US"/>
        </w:rPr>
        <w:t>-</w:t>
      </w:r>
      <w:r w:rsidRPr="000C7B4B">
        <w:rPr>
          <w:rFonts w:ascii="Arial" w:hAnsi="Arial" w:cs="Arial"/>
          <w:sz w:val="24"/>
          <w:rtl/>
          <w:lang w:eastAsia="en-US"/>
        </w:rPr>
        <w:t xml:space="preserve"> יתרות השקעות ישירות של תושבי חוץ בישראל (</w:t>
      </w:r>
      <w:r w:rsidRPr="000C7B4B">
        <w:rPr>
          <w:rFonts w:ascii="Arial" w:hAnsi="Arial" w:cs="Arial"/>
          <w:sz w:val="24"/>
          <w:lang w:eastAsia="en-US"/>
        </w:rPr>
        <w:t>IN</w:t>
      </w:r>
      <w:r w:rsidRPr="000C7B4B">
        <w:rPr>
          <w:rFonts w:ascii="Arial" w:hAnsi="Arial" w:cs="Arial"/>
          <w:sz w:val="24"/>
          <w:rtl/>
          <w:lang w:eastAsia="en-US"/>
        </w:rPr>
        <w:t>) לפי ענפי כלכלה עיקריים</w:t>
      </w:r>
    </w:p>
    <w:p w:rsidR="00EA3413" w:rsidRDefault="00FB681E" w:rsidP="00414152">
      <w:pPr>
        <w:pStyle w:val="BodyText2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2D8CA8BC" wp14:editId="083202FA">
            <wp:extent cx="6245525" cy="4433555"/>
            <wp:effectExtent l="0" t="0" r="3175" b="5715"/>
            <wp:docPr id="13" name="Picture 13" descr="תרשים 2 - יתרות השקעות ישירות של תושבי חוץ בישראל (IN) לפי ענפי כלכלה עיקריים" title="תרשים 2 - יתרות השקעות ישירות של תושבי חוץ בישראל (IN) לפי ענפי כלכלה עיקר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357" cy="44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BAE" w:rsidRDefault="006A5007" w:rsidP="00032F46">
      <w:pPr>
        <w:pStyle w:val="BodyText2"/>
        <w:spacing w:before="240" w:line="360" w:lineRule="auto"/>
        <w:jc w:val="left"/>
        <w:rPr>
          <w:rtl/>
        </w:rPr>
      </w:pPr>
      <w:r>
        <w:rPr>
          <w:rFonts w:hint="cs"/>
          <w:rtl/>
        </w:rPr>
        <w:t>60.4</w:t>
      </w:r>
      <w:r w:rsidR="00E2408E" w:rsidRPr="00784679">
        <w:rPr>
          <w:rFonts w:hint="cs"/>
          <w:rtl/>
        </w:rPr>
        <w:t xml:space="preserve">% מיתרת ההשקעות הנכנסות בשנת </w:t>
      </w:r>
      <w:r w:rsidR="00D01DBF" w:rsidRPr="00784679">
        <w:rPr>
          <w:rFonts w:hint="cs"/>
          <w:rtl/>
        </w:rPr>
        <w:t>201</w:t>
      </w:r>
      <w:r>
        <w:rPr>
          <w:rFonts w:hint="cs"/>
          <w:rtl/>
        </w:rPr>
        <w:t>7</w:t>
      </w:r>
      <w:r w:rsidR="00E2408E" w:rsidRPr="00784679">
        <w:rPr>
          <w:rFonts w:hint="cs"/>
          <w:rtl/>
        </w:rPr>
        <w:t xml:space="preserve"> </w:t>
      </w:r>
      <w:r w:rsidR="008966EC">
        <w:rPr>
          <w:rFonts w:hint="cs"/>
          <w:rtl/>
        </w:rPr>
        <w:t>(</w:t>
      </w:r>
      <w:r>
        <w:rPr>
          <w:rFonts w:hint="cs"/>
          <w:rtl/>
        </w:rPr>
        <w:t>78</w:t>
      </w:r>
      <w:r w:rsidR="00E2408E" w:rsidRPr="00784679">
        <w:rPr>
          <w:rFonts w:hint="cs"/>
          <w:rtl/>
        </w:rPr>
        <w:t xml:space="preserve"> מיליארד </w:t>
      </w:r>
      <w:r w:rsidR="00B35AA3" w:rsidRPr="00784679">
        <w:rPr>
          <w:rFonts w:hint="cs"/>
          <w:rtl/>
        </w:rPr>
        <w:t>דולר</w:t>
      </w:r>
      <w:r w:rsidR="008966EC">
        <w:rPr>
          <w:rFonts w:hint="cs"/>
          <w:rtl/>
        </w:rPr>
        <w:t>)</w:t>
      </w:r>
      <w:r w:rsidR="00E2408E" w:rsidRPr="00784679">
        <w:rPr>
          <w:rFonts w:hint="cs"/>
          <w:rtl/>
        </w:rPr>
        <w:t xml:space="preserve"> </w:t>
      </w:r>
      <w:r w:rsidR="008966EC">
        <w:rPr>
          <w:rFonts w:hint="cs"/>
          <w:rtl/>
        </w:rPr>
        <w:t>היו ב</w:t>
      </w:r>
      <w:r w:rsidR="00E2408E" w:rsidRPr="00784679">
        <w:rPr>
          <w:rFonts w:hint="cs"/>
          <w:rtl/>
        </w:rPr>
        <w:t>ענפי המסחר והשירותי</w:t>
      </w:r>
      <w:r w:rsidR="00E2408E" w:rsidRPr="00784679">
        <w:rPr>
          <w:rFonts w:hint="eastAsia"/>
          <w:rtl/>
        </w:rPr>
        <w:t>ם</w:t>
      </w:r>
      <w:r>
        <w:rPr>
          <w:rFonts w:hint="cs"/>
          <w:rtl/>
        </w:rPr>
        <w:t>,</w:t>
      </w:r>
      <w:r w:rsidR="00E2408E" w:rsidRPr="00784679">
        <w:rPr>
          <w:rFonts w:hint="cs"/>
          <w:rtl/>
        </w:rPr>
        <w:t xml:space="preserve"> </w:t>
      </w:r>
      <w:r w:rsidR="008966EC">
        <w:rPr>
          <w:rFonts w:hint="cs"/>
          <w:rtl/>
        </w:rPr>
        <w:t>ואילו</w:t>
      </w:r>
      <w:r w:rsidR="003336B3" w:rsidRPr="00784679">
        <w:rPr>
          <w:rFonts w:hint="cs"/>
          <w:rtl/>
        </w:rPr>
        <w:t xml:space="preserve"> </w:t>
      </w:r>
      <w:r>
        <w:rPr>
          <w:rFonts w:hint="cs"/>
          <w:rtl/>
        </w:rPr>
        <w:t>28.3</w:t>
      </w:r>
      <w:r w:rsidR="00F76908" w:rsidRPr="00784679">
        <w:rPr>
          <w:rFonts w:hint="cs"/>
          <w:rtl/>
        </w:rPr>
        <w:t xml:space="preserve">% מהיתרה </w:t>
      </w:r>
      <w:r w:rsidR="00055F5A">
        <w:rPr>
          <w:rFonts w:hint="eastAsia"/>
          <w:rtl/>
        </w:rPr>
        <w:t>-</w:t>
      </w:r>
      <w:r w:rsidR="008966EC">
        <w:rPr>
          <w:rFonts w:hint="cs"/>
          <w:rtl/>
        </w:rPr>
        <w:t xml:space="preserve"> ב</w:t>
      </w:r>
      <w:r w:rsidR="00F76908" w:rsidRPr="00784679">
        <w:rPr>
          <w:rFonts w:hint="cs"/>
          <w:rtl/>
        </w:rPr>
        <w:t>ענפי התעשיי</w:t>
      </w:r>
      <w:r w:rsidR="00F76908" w:rsidRPr="00784679">
        <w:rPr>
          <w:rFonts w:hint="eastAsia"/>
          <w:rtl/>
        </w:rPr>
        <w:t>ה</w:t>
      </w:r>
      <w:r w:rsidR="00F76908" w:rsidRPr="00784679">
        <w:rPr>
          <w:rFonts w:hint="cs"/>
          <w:rtl/>
        </w:rPr>
        <w:t>.</w:t>
      </w:r>
      <w:r w:rsidR="00B22BAE">
        <w:rPr>
          <w:rFonts w:hint="cs"/>
          <w:rtl/>
        </w:rPr>
        <w:t xml:space="preserve"> </w:t>
      </w:r>
    </w:p>
    <w:p w:rsidR="009E0847" w:rsidRDefault="0075515B" w:rsidP="007C3BC2">
      <w:pPr>
        <w:pStyle w:val="BodyText2"/>
        <w:spacing w:before="120" w:line="360" w:lineRule="auto"/>
        <w:jc w:val="left"/>
      </w:pPr>
      <w:r w:rsidRPr="00784679">
        <w:rPr>
          <w:rFonts w:hint="cs"/>
          <w:rtl/>
        </w:rPr>
        <w:t>יתרות ההשקע</w:t>
      </w:r>
      <w:r w:rsidR="00E2408E" w:rsidRPr="00784679">
        <w:rPr>
          <w:rFonts w:hint="cs"/>
          <w:rtl/>
        </w:rPr>
        <w:t>ות הבולטות</w:t>
      </w:r>
      <w:r w:rsidR="0032764F" w:rsidRPr="00784679">
        <w:rPr>
          <w:rFonts w:hint="cs"/>
          <w:rtl/>
        </w:rPr>
        <w:t xml:space="preserve"> ביותר</w:t>
      </w:r>
      <w:r w:rsidR="00E2408E" w:rsidRPr="00784679">
        <w:rPr>
          <w:rFonts w:hint="cs"/>
          <w:rtl/>
        </w:rPr>
        <w:t xml:space="preserve"> בסוף שנת </w:t>
      </w:r>
      <w:r w:rsidR="00D01DBF" w:rsidRPr="00784679">
        <w:rPr>
          <w:rFonts w:hint="cs"/>
          <w:rtl/>
        </w:rPr>
        <w:t>201</w:t>
      </w:r>
      <w:r w:rsidR="00291B86">
        <w:rPr>
          <w:rFonts w:hint="cs"/>
          <w:rtl/>
        </w:rPr>
        <w:t>7</w:t>
      </w:r>
      <w:r w:rsidR="00E2408E" w:rsidRPr="00784679">
        <w:rPr>
          <w:rFonts w:hint="cs"/>
          <w:rtl/>
        </w:rPr>
        <w:t xml:space="preserve"> היו ב</w:t>
      </w:r>
      <w:r w:rsidRPr="00784679">
        <w:rPr>
          <w:rFonts w:hint="cs"/>
          <w:rtl/>
        </w:rPr>
        <w:t>ע</w:t>
      </w:r>
      <w:r w:rsidR="00F76908" w:rsidRPr="00784679">
        <w:rPr>
          <w:rFonts w:hint="cs"/>
          <w:rtl/>
        </w:rPr>
        <w:t>נפי</w:t>
      </w:r>
      <w:r w:rsidR="00125BAF" w:rsidRPr="00784679">
        <w:rPr>
          <w:rFonts w:hint="cs"/>
          <w:rtl/>
        </w:rPr>
        <w:t xml:space="preserve"> </w:t>
      </w:r>
      <w:r w:rsidR="00125BAF" w:rsidRPr="00784679">
        <w:rPr>
          <w:rtl/>
        </w:rPr>
        <w:t>שירותי מידע ותקשורת, תכנות וייעוץ בתחום המחשבים</w:t>
      </w:r>
      <w:r w:rsidR="00125BAF" w:rsidRPr="00784679">
        <w:rPr>
          <w:rFonts w:hint="cs"/>
          <w:rtl/>
        </w:rPr>
        <w:t xml:space="preserve"> (</w:t>
      </w:r>
      <w:r w:rsidR="00A7716D" w:rsidRPr="00784679">
        <w:rPr>
          <w:rFonts w:hint="cs"/>
          <w:rtl/>
        </w:rPr>
        <w:t>2</w:t>
      </w:r>
      <w:r w:rsidR="007C3BC2">
        <w:rPr>
          <w:rFonts w:hint="cs"/>
          <w:rtl/>
        </w:rPr>
        <w:t>0</w:t>
      </w:r>
      <w:r w:rsidR="00A7716D" w:rsidRPr="00784679">
        <w:rPr>
          <w:rFonts w:hint="cs"/>
          <w:rtl/>
        </w:rPr>
        <w:t>.</w:t>
      </w:r>
      <w:r w:rsidR="007C3BC2">
        <w:rPr>
          <w:rFonts w:hint="cs"/>
          <w:rtl/>
        </w:rPr>
        <w:t>3</w:t>
      </w:r>
      <w:r w:rsidR="00125BAF" w:rsidRPr="00784679">
        <w:rPr>
          <w:rFonts w:hint="cs"/>
          <w:rtl/>
        </w:rPr>
        <w:t>%),</w:t>
      </w:r>
      <w:r w:rsidR="00F76908" w:rsidRPr="00784679">
        <w:rPr>
          <w:rFonts w:hint="cs"/>
          <w:rtl/>
        </w:rPr>
        <w:t xml:space="preserve"> </w:t>
      </w:r>
      <w:r w:rsidR="00842E91" w:rsidRPr="00784679">
        <w:rPr>
          <w:rtl/>
        </w:rPr>
        <w:t>ייצור מחשבים, מכשור אלקטרוני ואופטי וציוד חשמלי</w:t>
      </w:r>
      <w:r w:rsidR="00842E91" w:rsidRPr="00784679">
        <w:rPr>
          <w:rFonts w:hint="cs"/>
          <w:rtl/>
        </w:rPr>
        <w:t xml:space="preserve"> </w:t>
      </w:r>
      <w:r w:rsidR="00F76908" w:rsidRPr="00784679">
        <w:rPr>
          <w:rFonts w:hint="cs"/>
          <w:rtl/>
        </w:rPr>
        <w:t>(</w:t>
      </w:r>
      <w:r w:rsidR="00A7716D" w:rsidRPr="00784679">
        <w:rPr>
          <w:rFonts w:hint="cs"/>
          <w:rtl/>
        </w:rPr>
        <w:t>13.</w:t>
      </w:r>
      <w:r w:rsidR="007C3BC2">
        <w:rPr>
          <w:rFonts w:hint="cs"/>
          <w:rtl/>
        </w:rPr>
        <w:t>0</w:t>
      </w:r>
      <w:r w:rsidR="00F76908" w:rsidRPr="00784679">
        <w:rPr>
          <w:rFonts w:hint="cs"/>
          <w:rtl/>
        </w:rPr>
        <w:t>%</w:t>
      </w:r>
      <w:r w:rsidR="0032764F" w:rsidRPr="00784679">
        <w:rPr>
          <w:rFonts w:hint="cs"/>
          <w:rtl/>
        </w:rPr>
        <w:t>)</w:t>
      </w:r>
      <w:r w:rsidR="00842E91" w:rsidRPr="00784679">
        <w:rPr>
          <w:rFonts w:hint="cs"/>
          <w:rtl/>
        </w:rPr>
        <w:t xml:space="preserve"> ו</w:t>
      </w:r>
      <w:r w:rsidR="0032764F" w:rsidRPr="00784679">
        <w:rPr>
          <w:rFonts w:hint="cs"/>
          <w:rtl/>
        </w:rPr>
        <w:t>מחקר</w:t>
      </w:r>
      <w:r w:rsidR="00296470" w:rsidRPr="00784679">
        <w:rPr>
          <w:rFonts w:hint="cs"/>
          <w:rtl/>
        </w:rPr>
        <w:t xml:space="preserve"> מדעי</w:t>
      </w:r>
      <w:r w:rsidR="0032764F" w:rsidRPr="00784679">
        <w:rPr>
          <w:rFonts w:hint="cs"/>
          <w:rtl/>
        </w:rPr>
        <w:t xml:space="preserve"> ופיתוח (</w:t>
      </w:r>
      <w:r w:rsidR="00A7716D" w:rsidRPr="00784679">
        <w:rPr>
          <w:rFonts w:hint="cs"/>
          <w:rtl/>
        </w:rPr>
        <w:t>1</w:t>
      </w:r>
      <w:r w:rsidR="007C3BC2">
        <w:rPr>
          <w:rFonts w:hint="cs"/>
          <w:rtl/>
        </w:rPr>
        <w:t>2.3</w:t>
      </w:r>
      <w:r w:rsidR="00842E91" w:rsidRPr="00784679">
        <w:rPr>
          <w:rFonts w:hint="cs"/>
          <w:rtl/>
        </w:rPr>
        <w:t>%).</w:t>
      </w:r>
      <w:r w:rsidR="0032764F" w:rsidRPr="00784679">
        <w:rPr>
          <w:rFonts w:hint="cs"/>
          <w:rtl/>
        </w:rPr>
        <w:t xml:space="preserve"> </w:t>
      </w:r>
      <w:r w:rsidR="00EB3101" w:rsidRPr="00784679">
        <w:rPr>
          <w:rFonts w:hint="cs"/>
          <w:rtl/>
        </w:rPr>
        <w:t>יש לציין כי לגבי כ-</w:t>
      </w:r>
      <w:r w:rsidR="006A5007">
        <w:rPr>
          <w:rFonts w:hint="cs"/>
          <w:rtl/>
        </w:rPr>
        <w:t>10.5</w:t>
      </w:r>
      <w:r w:rsidR="00EB3101" w:rsidRPr="00784679">
        <w:rPr>
          <w:rFonts w:hint="cs"/>
          <w:rtl/>
        </w:rPr>
        <w:t>% מיתרות ההשקעה</w:t>
      </w:r>
      <w:r w:rsidR="00E037D7" w:rsidRPr="00784679">
        <w:rPr>
          <w:rFonts w:hint="cs"/>
          <w:rtl/>
        </w:rPr>
        <w:t xml:space="preserve"> הנכנסות</w:t>
      </w:r>
      <w:r w:rsidR="00EB3101" w:rsidRPr="00784679">
        <w:rPr>
          <w:rFonts w:hint="cs"/>
          <w:rtl/>
        </w:rPr>
        <w:t xml:space="preserve"> </w:t>
      </w:r>
      <w:r w:rsidR="006A5007">
        <w:rPr>
          <w:rFonts w:hint="cs"/>
          <w:rtl/>
        </w:rPr>
        <w:t>לא קיימים</w:t>
      </w:r>
      <w:r w:rsidR="00EB3101" w:rsidRPr="00784679">
        <w:rPr>
          <w:rFonts w:hint="cs"/>
          <w:rtl/>
        </w:rPr>
        <w:t xml:space="preserve"> נתונים על ההתפלגות </w:t>
      </w:r>
      <w:r w:rsidR="00032F46">
        <w:rPr>
          <w:rFonts w:hint="cs"/>
          <w:rtl/>
        </w:rPr>
        <w:t xml:space="preserve">לפי </w:t>
      </w:r>
      <w:r w:rsidR="00EB3101" w:rsidRPr="00784679">
        <w:rPr>
          <w:rFonts w:hint="cs"/>
          <w:rtl/>
        </w:rPr>
        <w:t>ענפי</w:t>
      </w:r>
      <w:r w:rsidR="00032F46">
        <w:rPr>
          <w:rFonts w:hint="cs"/>
          <w:rtl/>
        </w:rPr>
        <w:t>ם</w:t>
      </w:r>
      <w:r w:rsidR="00EB3101" w:rsidRPr="00784679">
        <w:rPr>
          <w:rFonts w:hint="cs"/>
          <w:rtl/>
        </w:rPr>
        <w:t>.</w:t>
      </w:r>
    </w:p>
    <w:p w:rsidR="00140B73" w:rsidRPr="00862486" w:rsidRDefault="00A01CAD" w:rsidP="005F6462">
      <w:pPr>
        <w:pStyle w:val="4"/>
        <w:rPr>
          <w:lang w:eastAsia="en-US"/>
        </w:rPr>
      </w:pPr>
      <w:r w:rsidRPr="00862486">
        <w:rPr>
          <w:rFonts w:hint="cs"/>
          <w:rtl/>
          <w:lang w:eastAsia="en-US"/>
        </w:rPr>
        <w:lastRenderedPageBreak/>
        <w:t>י</w:t>
      </w:r>
      <w:r w:rsidR="009E0847" w:rsidRPr="00862486">
        <w:rPr>
          <w:rtl/>
          <w:lang w:eastAsia="en-US"/>
        </w:rPr>
        <w:t>תרות הש</w:t>
      </w:r>
      <w:r w:rsidR="002105E2">
        <w:rPr>
          <w:rtl/>
          <w:lang w:eastAsia="en-US"/>
        </w:rPr>
        <w:t>קעות ישירות של תושבי חוץ בישראל</w:t>
      </w:r>
      <w:r w:rsidR="009E0847" w:rsidRPr="00862486">
        <w:rPr>
          <w:rtl/>
          <w:lang w:eastAsia="en-US"/>
        </w:rPr>
        <w:t xml:space="preserve"> לפי עוצמה טכנולוגית</w:t>
      </w:r>
      <w:r w:rsidR="005C5474">
        <w:rPr>
          <w:rFonts w:hint="cs"/>
          <w:rtl/>
          <w:lang w:eastAsia="en-US"/>
        </w:rPr>
        <w:t xml:space="preserve"> </w:t>
      </w:r>
      <w:r w:rsidRPr="00862486">
        <w:rPr>
          <w:rFonts w:hint="cs"/>
          <w:rtl/>
          <w:lang w:eastAsia="en-US"/>
        </w:rPr>
        <w:t>(לוח 3)</w:t>
      </w:r>
      <w:r w:rsidR="009E0847" w:rsidRPr="00862486">
        <w:rPr>
          <w:rtl/>
          <w:lang w:eastAsia="en-US"/>
        </w:rPr>
        <w:t xml:space="preserve"> </w:t>
      </w:r>
    </w:p>
    <w:p w:rsidR="00EC65C0" w:rsidRPr="00784679" w:rsidRDefault="00CF3F6F" w:rsidP="00B65E13">
      <w:pPr>
        <w:pStyle w:val="BodyText2"/>
        <w:spacing w:before="120" w:line="360" w:lineRule="auto"/>
        <w:jc w:val="left"/>
        <w:rPr>
          <w:rtl/>
        </w:rPr>
      </w:pPr>
      <w:r w:rsidRPr="00784679">
        <w:rPr>
          <w:rFonts w:hint="cs"/>
          <w:rtl/>
        </w:rPr>
        <w:t>בחלוקה לפי עוצמה טכנולוגית</w:t>
      </w:r>
      <w:r w:rsidR="005F6462">
        <w:rPr>
          <w:rStyle w:val="FootnoteReference"/>
          <w:rtl/>
        </w:rPr>
        <w:footnoteReference w:id="3"/>
      </w:r>
      <w:r w:rsidR="005F6462" w:rsidRPr="00862486">
        <w:rPr>
          <w:rFonts w:hint="cs"/>
          <w:rtl/>
        </w:rPr>
        <w:t xml:space="preserve"> </w:t>
      </w:r>
      <w:r w:rsidR="00D15807" w:rsidRPr="00784679">
        <w:rPr>
          <w:rFonts w:hint="cs"/>
          <w:rtl/>
        </w:rPr>
        <w:t xml:space="preserve">בשנת </w:t>
      </w:r>
      <w:r w:rsidR="00D01DBF" w:rsidRPr="00784679">
        <w:rPr>
          <w:rFonts w:hint="cs"/>
          <w:rtl/>
        </w:rPr>
        <w:t>201</w:t>
      </w:r>
      <w:r w:rsidR="007C267E">
        <w:rPr>
          <w:rFonts w:hint="cs"/>
          <w:rtl/>
        </w:rPr>
        <w:t>7</w:t>
      </w:r>
      <w:r w:rsidR="00D15807" w:rsidRPr="00784679">
        <w:rPr>
          <w:rFonts w:hint="cs"/>
          <w:rtl/>
        </w:rPr>
        <w:t xml:space="preserve"> </w:t>
      </w:r>
      <w:r w:rsidRPr="00784679">
        <w:rPr>
          <w:rFonts w:hint="cs"/>
          <w:rtl/>
        </w:rPr>
        <w:t>בולט חלק</w:t>
      </w:r>
      <w:r w:rsidR="00A01CAD">
        <w:rPr>
          <w:rFonts w:hint="cs"/>
          <w:rtl/>
        </w:rPr>
        <w:t>ם</w:t>
      </w:r>
      <w:r w:rsidRPr="00784679">
        <w:rPr>
          <w:rFonts w:hint="cs"/>
          <w:rtl/>
        </w:rPr>
        <w:t xml:space="preserve"> של </w:t>
      </w:r>
      <w:r w:rsidR="00A01CAD">
        <w:rPr>
          <w:rFonts w:hint="cs"/>
          <w:rtl/>
        </w:rPr>
        <w:t>ענפי היי טק בשירותים</w:t>
      </w:r>
      <w:r w:rsidR="00B65E13">
        <w:rPr>
          <w:rStyle w:val="FootnoteReference"/>
          <w:rtl/>
        </w:rPr>
        <w:footnoteReference w:id="4"/>
      </w:r>
      <w:r w:rsidR="00AE6E0D">
        <w:rPr>
          <w:rFonts w:hint="cs"/>
          <w:rtl/>
        </w:rPr>
        <w:t xml:space="preserve"> </w:t>
      </w:r>
      <w:r w:rsidR="00730830">
        <w:rPr>
          <w:rFonts w:hint="cs"/>
          <w:rtl/>
        </w:rPr>
        <w:t>ש</w:t>
      </w:r>
      <w:r w:rsidR="00AE6E0D">
        <w:rPr>
          <w:rFonts w:hint="cs"/>
          <w:rtl/>
        </w:rPr>
        <w:t>עמד על 42</w:t>
      </w:r>
      <w:r w:rsidR="00862486">
        <w:rPr>
          <w:rFonts w:hint="cs"/>
          <w:rtl/>
        </w:rPr>
        <w:t>.1</w:t>
      </w:r>
      <w:r w:rsidR="00AE6E0D">
        <w:rPr>
          <w:rFonts w:hint="cs"/>
          <w:rtl/>
        </w:rPr>
        <w:t xml:space="preserve"> מיליארד דולר</w:t>
      </w:r>
      <w:r w:rsidR="003D333B" w:rsidRPr="00784679">
        <w:rPr>
          <w:rFonts w:hint="cs"/>
          <w:rtl/>
        </w:rPr>
        <w:t xml:space="preserve"> </w:t>
      </w:r>
      <w:r w:rsidR="00730830">
        <w:rPr>
          <w:rFonts w:hint="cs"/>
          <w:rtl/>
        </w:rPr>
        <w:t>ו</w:t>
      </w:r>
      <w:r w:rsidR="00AE6E0D">
        <w:rPr>
          <w:rFonts w:hint="cs"/>
          <w:rtl/>
        </w:rPr>
        <w:t>ה</w:t>
      </w:r>
      <w:r w:rsidR="00730830">
        <w:rPr>
          <w:rFonts w:hint="cs"/>
          <w:rtl/>
        </w:rPr>
        <w:t>י</w:t>
      </w:r>
      <w:r w:rsidR="00AE6E0D">
        <w:rPr>
          <w:rFonts w:hint="cs"/>
          <w:rtl/>
        </w:rPr>
        <w:t xml:space="preserve">ה </w:t>
      </w:r>
      <w:r w:rsidR="007C267E">
        <w:rPr>
          <w:rFonts w:hint="cs"/>
          <w:rtl/>
        </w:rPr>
        <w:t>32.</w:t>
      </w:r>
      <w:r w:rsidR="00AE6E0D">
        <w:rPr>
          <w:rFonts w:hint="cs"/>
          <w:rtl/>
        </w:rPr>
        <w:t>6</w:t>
      </w:r>
      <w:r w:rsidR="00CA5D69" w:rsidRPr="00784679">
        <w:rPr>
          <w:rFonts w:hint="cs"/>
          <w:rtl/>
        </w:rPr>
        <w:t>% מסך היתרה</w:t>
      </w:r>
      <w:r w:rsidR="00EC65C0">
        <w:rPr>
          <w:rFonts w:hint="cs"/>
          <w:rtl/>
        </w:rPr>
        <w:t xml:space="preserve"> </w:t>
      </w:r>
      <w:r w:rsidR="00AE6E0D">
        <w:rPr>
          <w:rFonts w:hint="cs"/>
          <w:rtl/>
        </w:rPr>
        <w:t xml:space="preserve">וחלקן </w:t>
      </w:r>
      <w:r w:rsidRPr="00784679">
        <w:rPr>
          <w:rFonts w:hint="cs"/>
          <w:rtl/>
        </w:rPr>
        <w:t xml:space="preserve">של </w:t>
      </w:r>
      <w:r w:rsidR="00CA5D69" w:rsidRPr="00784679">
        <w:rPr>
          <w:rFonts w:hint="cs"/>
          <w:rtl/>
        </w:rPr>
        <w:t>תעשי</w:t>
      </w:r>
      <w:r w:rsidR="00AE6E0D">
        <w:rPr>
          <w:rFonts w:hint="cs"/>
          <w:rtl/>
        </w:rPr>
        <w:t>ו</w:t>
      </w:r>
      <w:r w:rsidR="00CA5D69" w:rsidRPr="00784679">
        <w:rPr>
          <w:rFonts w:hint="cs"/>
          <w:rtl/>
        </w:rPr>
        <w:t>ת טכנולוגיה עילית</w:t>
      </w:r>
      <w:r w:rsidR="00AE6E0D">
        <w:rPr>
          <w:rFonts w:hint="cs"/>
          <w:rtl/>
        </w:rPr>
        <w:t xml:space="preserve"> </w:t>
      </w:r>
      <w:r w:rsidR="00730830">
        <w:rPr>
          <w:rFonts w:hint="cs"/>
          <w:rtl/>
        </w:rPr>
        <w:t>ש</w:t>
      </w:r>
      <w:r w:rsidR="00AE6E0D">
        <w:rPr>
          <w:rFonts w:hint="cs"/>
          <w:rtl/>
        </w:rPr>
        <w:t xml:space="preserve">עמד על 20.4 </w:t>
      </w:r>
      <w:r w:rsidR="00CA5D69" w:rsidRPr="00784679">
        <w:rPr>
          <w:rFonts w:hint="cs"/>
          <w:rtl/>
        </w:rPr>
        <w:t xml:space="preserve"> </w:t>
      </w:r>
      <w:r w:rsidR="00AE6E0D">
        <w:rPr>
          <w:rFonts w:hint="cs"/>
          <w:rtl/>
        </w:rPr>
        <w:t>מיליארד דולר</w:t>
      </w:r>
      <w:r w:rsidR="00AE6E0D" w:rsidRPr="00784679">
        <w:rPr>
          <w:rFonts w:hint="cs"/>
          <w:rtl/>
        </w:rPr>
        <w:t xml:space="preserve"> </w:t>
      </w:r>
      <w:r w:rsidR="00730830">
        <w:rPr>
          <w:rFonts w:hint="cs"/>
          <w:rtl/>
        </w:rPr>
        <w:t>ו</w:t>
      </w:r>
      <w:r w:rsidR="00AE6E0D">
        <w:rPr>
          <w:rFonts w:hint="cs"/>
          <w:rtl/>
        </w:rPr>
        <w:t>ה</w:t>
      </w:r>
      <w:r w:rsidR="00730830">
        <w:rPr>
          <w:rFonts w:hint="cs"/>
          <w:rtl/>
        </w:rPr>
        <w:t>י</w:t>
      </w:r>
      <w:r w:rsidR="00AE6E0D">
        <w:rPr>
          <w:rFonts w:hint="cs"/>
          <w:rtl/>
        </w:rPr>
        <w:t xml:space="preserve">ה </w:t>
      </w:r>
      <w:r w:rsidR="007C267E">
        <w:rPr>
          <w:rFonts w:hint="cs"/>
          <w:rtl/>
        </w:rPr>
        <w:t>15</w:t>
      </w:r>
      <w:r w:rsidR="00296470" w:rsidRPr="00784679">
        <w:rPr>
          <w:rFonts w:hint="cs"/>
          <w:rtl/>
        </w:rPr>
        <w:t>.8</w:t>
      </w:r>
      <w:r w:rsidR="00CA5D69" w:rsidRPr="00784679">
        <w:rPr>
          <w:rFonts w:hint="cs"/>
          <w:rtl/>
        </w:rPr>
        <w:t>%</w:t>
      </w:r>
      <w:r w:rsidR="00EC65C0" w:rsidRPr="00EC65C0">
        <w:rPr>
          <w:rFonts w:hint="cs"/>
          <w:rtl/>
        </w:rPr>
        <w:t xml:space="preserve"> </w:t>
      </w:r>
      <w:r w:rsidR="00EC65C0" w:rsidRPr="00784679">
        <w:rPr>
          <w:rFonts w:hint="cs"/>
          <w:rtl/>
        </w:rPr>
        <w:t>מסך היתרה</w:t>
      </w:r>
      <w:r w:rsidR="00CA5D69" w:rsidRPr="00784679">
        <w:rPr>
          <w:rFonts w:hint="cs"/>
          <w:rtl/>
        </w:rPr>
        <w:t>.</w:t>
      </w:r>
    </w:p>
    <w:p w:rsidR="00F76908" w:rsidRDefault="007B0F35" w:rsidP="00893CA6">
      <w:pPr>
        <w:pStyle w:val="4"/>
        <w:rPr>
          <w:sz w:val="22"/>
          <w:szCs w:val="22"/>
          <w:rtl/>
        </w:rPr>
      </w:pPr>
      <w:r w:rsidRPr="003B335F">
        <w:rPr>
          <w:rFonts w:hint="cs"/>
          <w:rtl/>
        </w:rPr>
        <w:t xml:space="preserve">יתרות </w:t>
      </w:r>
      <w:r w:rsidR="00187E1D" w:rsidRPr="003B335F">
        <w:rPr>
          <w:rFonts w:hint="cs"/>
          <w:rtl/>
        </w:rPr>
        <w:t>השקעות ישירות לפי מדינות</w:t>
      </w:r>
      <w:r w:rsidR="0082020F" w:rsidRPr="003B335F">
        <w:rPr>
          <w:rFonts w:hint="cs"/>
          <w:rtl/>
        </w:rPr>
        <w:t xml:space="preserve"> (לוח 2</w:t>
      </w:r>
      <w:r w:rsidR="00F76908" w:rsidRPr="003B335F">
        <w:rPr>
          <w:rFonts w:hint="cs"/>
          <w:rtl/>
        </w:rPr>
        <w:t>)</w:t>
      </w:r>
    </w:p>
    <w:p w:rsidR="0099128D" w:rsidRPr="0099128D" w:rsidRDefault="0099128D" w:rsidP="0099128D">
      <w:pPr>
        <w:pStyle w:val="4"/>
        <w:jc w:val="center"/>
        <w:rPr>
          <w:sz w:val="24"/>
          <w:rtl/>
        </w:rPr>
      </w:pPr>
      <w:r w:rsidRPr="0099128D">
        <w:rPr>
          <w:rFonts w:cs="Arial" w:hint="cs"/>
          <w:sz w:val="24"/>
          <w:rtl/>
        </w:rPr>
        <w:t xml:space="preserve">תרשים 3 - </w:t>
      </w:r>
      <w:r w:rsidRPr="0099128D">
        <w:rPr>
          <w:rFonts w:cs="Arial"/>
          <w:sz w:val="24"/>
          <w:rtl/>
        </w:rPr>
        <w:t>יתרות השקעות ישירות של תושבי חוץ בישראל (</w:t>
      </w:r>
      <w:r w:rsidRPr="0099128D">
        <w:rPr>
          <w:sz w:val="24"/>
        </w:rPr>
        <w:t>IN</w:t>
      </w:r>
      <w:r w:rsidR="001717D1">
        <w:rPr>
          <w:rFonts w:cs="Arial"/>
          <w:sz w:val="24"/>
          <w:rtl/>
        </w:rPr>
        <w:t>)</w:t>
      </w:r>
      <w:r w:rsidRPr="0099128D">
        <w:rPr>
          <w:rFonts w:cs="Arial"/>
          <w:sz w:val="24"/>
          <w:rtl/>
        </w:rPr>
        <w:t xml:space="preserve"> לפי מדינות עיקריות</w:t>
      </w:r>
    </w:p>
    <w:p w:rsidR="00D13F4D" w:rsidRPr="003C5C74" w:rsidRDefault="00010BF2" w:rsidP="003C5C74">
      <w:pPr>
        <w:pStyle w:val="BodyText2"/>
        <w:spacing w:line="360" w:lineRule="auto"/>
        <w:jc w:val="left"/>
        <w:rPr>
          <w:sz w:val="22"/>
          <w:szCs w:val="22"/>
          <w:u w:val="single"/>
          <w:rtl/>
        </w:rPr>
      </w:pPr>
      <w:r w:rsidRPr="00010BF2">
        <w:rPr>
          <w:noProof/>
          <w:sz w:val="22"/>
          <w:szCs w:val="22"/>
        </w:rPr>
        <w:drawing>
          <wp:inline distT="0" distB="0" distL="0" distR="0" wp14:anchorId="01A8D9A9" wp14:editId="45B2DBA5">
            <wp:extent cx="6573329" cy="2812211"/>
            <wp:effectExtent l="0" t="0" r="0" b="7620"/>
            <wp:docPr id="20" name="Picture 20" descr="תרשים 3 - יתרות השקעות ישירות של תושבי חוץ בישראל (IN) לפי מדינות עיקריות" title="תרשים 3 - יתרות השקעות ישירות של תושבי חוץ בישראל (IN) לפי מדינות עיקר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00" cy="281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35D" w:rsidRDefault="0075515B" w:rsidP="00B64E03">
      <w:pPr>
        <w:pStyle w:val="BodyText2"/>
        <w:spacing w:before="120" w:line="360" w:lineRule="auto"/>
        <w:jc w:val="left"/>
        <w:rPr>
          <w:rtl/>
        </w:rPr>
      </w:pPr>
      <w:r w:rsidRPr="00784679">
        <w:rPr>
          <w:rFonts w:hint="cs"/>
          <w:rtl/>
        </w:rPr>
        <w:t>בחלוקה לפי מדינות</w:t>
      </w:r>
      <w:r w:rsidR="00585669" w:rsidRPr="00784679">
        <w:rPr>
          <w:rFonts w:hint="cs"/>
          <w:rtl/>
        </w:rPr>
        <w:t xml:space="preserve"> בסוף שנת </w:t>
      </w:r>
      <w:r w:rsidR="00D01DBF" w:rsidRPr="00784679">
        <w:rPr>
          <w:rFonts w:hint="cs"/>
          <w:rtl/>
        </w:rPr>
        <w:t>201</w:t>
      </w:r>
      <w:r w:rsidR="00D13F4D">
        <w:rPr>
          <w:rFonts w:hint="cs"/>
          <w:rtl/>
        </w:rPr>
        <w:t>7</w:t>
      </w:r>
      <w:r w:rsidRPr="00784679">
        <w:rPr>
          <w:rFonts w:hint="cs"/>
          <w:rtl/>
        </w:rPr>
        <w:t xml:space="preserve"> בולטות יתרות ההשקעה</w:t>
      </w:r>
      <w:r w:rsidR="00165F17" w:rsidRPr="00784679">
        <w:rPr>
          <w:rFonts w:hint="cs"/>
          <w:rtl/>
        </w:rPr>
        <w:t xml:space="preserve"> מ</w:t>
      </w:r>
      <w:r w:rsidR="008A720E" w:rsidRPr="00784679">
        <w:rPr>
          <w:rFonts w:hint="cs"/>
          <w:rtl/>
        </w:rPr>
        <w:t>ארה"ב (</w:t>
      </w:r>
      <w:r w:rsidR="00242127" w:rsidRPr="00784679">
        <w:rPr>
          <w:rFonts w:hint="cs"/>
          <w:rtl/>
        </w:rPr>
        <w:t>1</w:t>
      </w:r>
      <w:r w:rsidR="00065C54" w:rsidRPr="00784679">
        <w:rPr>
          <w:rFonts w:hint="cs"/>
          <w:rtl/>
        </w:rPr>
        <w:t>6</w:t>
      </w:r>
      <w:r w:rsidR="00242127" w:rsidRPr="00784679">
        <w:rPr>
          <w:rFonts w:hint="cs"/>
          <w:rtl/>
        </w:rPr>
        <w:t>.</w:t>
      </w:r>
      <w:r w:rsidR="00D13F4D">
        <w:rPr>
          <w:rFonts w:hint="cs"/>
          <w:rtl/>
        </w:rPr>
        <w:t>3</w:t>
      </w:r>
      <w:r w:rsidR="008A720E" w:rsidRPr="00784679">
        <w:rPr>
          <w:rFonts w:hint="cs"/>
          <w:rtl/>
        </w:rPr>
        <w:t>% מסך היתרה)</w:t>
      </w:r>
      <w:r w:rsidR="00A05E26" w:rsidRPr="00784679">
        <w:rPr>
          <w:rFonts w:hint="cs"/>
          <w:rtl/>
        </w:rPr>
        <w:t>,</w:t>
      </w:r>
      <w:r w:rsidR="00242127" w:rsidRPr="00784679">
        <w:rPr>
          <w:rFonts w:hint="cs"/>
          <w:rtl/>
        </w:rPr>
        <w:t xml:space="preserve"> הולנד (</w:t>
      </w:r>
      <w:r w:rsidR="00D13F4D">
        <w:rPr>
          <w:rFonts w:hint="cs"/>
          <w:rtl/>
        </w:rPr>
        <w:t>10.5</w:t>
      </w:r>
      <w:r w:rsidR="00242127" w:rsidRPr="00784679">
        <w:rPr>
          <w:rFonts w:hint="cs"/>
          <w:rtl/>
        </w:rPr>
        <w:t>%),</w:t>
      </w:r>
      <w:r w:rsidR="00023571">
        <w:rPr>
          <w:rFonts w:hint="cs"/>
          <w:rtl/>
        </w:rPr>
        <w:t xml:space="preserve"> </w:t>
      </w:r>
      <w:r w:rsidR="00E75E15" w:rsidRPr="00784679">
        <w:rPr>
          <w:rFonts w:hint="cs"/>
          <w:rtl/>
        </w:rPr>
        <w:t>איי קיימן</w:t>
      </w:r>
      <w:r w:rsidRPr="00784679">
        <w:rPr>
          <w:rFonts w:hint="cs"/>
          <w:rtl/>
        </w:rPr>
        <w:t xml:space="preserve"> (</w:t>
      </w:r>
      <w:r w:rsidR="00242127" w:rsidRPr="00784679">
        <w:rPr>
          <w:rFonts w:hint="cs"/>
          <w:rtl/>
        </w:rPr>
        <w:t>6.</w:t>
      </w:r>
      <w:r w:rsidR="00D13F4D">
        <w:rPr>
          <w:rFonts w:hint="cs"/>
          <w:rtl/>
        </w:rPr>
        <w:t>5</w:t>
      </w:r>
      <w:r w:rsidR="008A720E" w:rsidRPr="00784679">
        <w:rPr>
          <w:rFonts w:hint="cs"/>
          <w:rtl/>
        </w:rPr>
        <w:t>%</w:t>
      </w:r>
      <w:r w:rsidR="00242127" w:rsidRPr="00784679">
        <w:rPr>
          <w:rFonts w:hint="cs"/>
          <w:rtl/>
        </w:rPr>
        <w:t>) ו</w:t>
      </w:r>
      <w:r w:rsidR="00D13F4D">
        <w:rPr>
          <w:rFonts w:hint="cs"/>
          <w:rtl/>
        </w:rPr>
        <w:t>קנדה</w:t>
      </w:r>
      <w:r w:rsidR="0082020F" w:rsidRPr="00784679">
        <w:rPr>
          <w:rFonts w:hint="cs"/>
          <w:rtl/>
        </w:rPr>
        <w:t xml:space="preserve"> (</w:t>
      </w:r>
      <w:r w:rsidR="00065C54" w:rsidRPr="00784679">
        <w:rPr>
          <w:rFonts w:hint="cs"/>
          <w:rtl/>
        </w:rPr>
        <w:t>3.</w:t>
      </w:r>
      <w:r w:rsidR="00D13F4D">
        <w:rPr>
          <w:rFonts w:hint="cs"/>
          <w:rtl/>
        </w:rPr>
        <w:t>6</w:t>
      </w:r>
      <w:r w:rsidR="0082020F" w:rsidRPr="00784679">
        <w:rPr>
          <w:rFonts w:hint="cs"/>
          <w:rtl/>
        </w:rPr>
        <w:t>%)</w:t>
      </w:r>
      <w:r w:rsidR="00242127" w:rsidRPr="00784679">
        <w:rPr>
          <w:rFonts w:hint="cs"/>
          <w:rtl/>
        </w:rPr>
        <w:t>.</w:t>
      </w:r>
      <w:r w:rsidR="00A05E26" w:rsidRPr="00784679">
        <w:rPr>
          <w:rFonts w:hint="cs"/>
          <w:rtl/>
        </w:rPr>
        <w:t xml:space="preserve"> </w:t>
      </w:r>
      <w:r w:rsidR="008D291A" w:rsidRPr="00784679">
        <w:rPr>
          <w:rFonts w:hint="cs"/>
          <w:rtl/>
        </w:rPr>
        <w:t xml:space="preserve">יתרות השקעה גבוהות נוספות הגיעו </w:t>
      </w:r>
      <w:r w:rsidR="00065C54" w:rsidRPr="00784679">
        <w:rPr>
          <w:rFonts w:hint="cs"/>
          <w:rtl/>
        </w:rPr>
        <w:t>מ</w:t>
      </w:r>
      <w:r w:rsidR="00D13F4D">
        <w:rPr>
          <w:rFonts w:hint="cs"/>
          <w:rtl/>
        </w:rPr>
        <w:t>סין</w:t>
      </w:r>
      <w:r w:rsidR="00910B0A" w:rsidRPr="00784679">
        <w:rPr>
          <w:rFonts w:hint="cs"/>
          <w:rtl/>
        </w:rPr>
        <w:t xml:space="preserve">, </w:t>
      </w:r>
      <w:r w:rsidR="001717D1">
        <w:rPr>
          <w:rFonts w:hint="cs"/>
          <w:rtl/>
        </w:rPr>
        <w:t>מ</w:t>
      </w:r>
      <w:r w:rsidR="00065C54" w:rsidRPr="00784679">
        <w:rPr>
          <w:rFonts w:hint="cs"/>
          <w:rtl/>
        </w:rPr>
        <w:t>לו</w:t>
      </w:r>
      <w:r w:rsidR="009C1CC3">
        <w:rPr>
          <w:rFonts w:hint="cs"/>
          <w:rtl/>
        </w:rPr>
        <w:t>ק</w:t>
      </w:r>
      <w:r w:rsidR="00065C54" w:rsidRPr="00784679">
        <w:rPr>
          <w:rFonts w:hint="cs"/>
          <w:rtl/>
        </w:rPr>
        <w:t>סמבורג</w:t>
      </w:r>
      <w:r w:rsidR="00910B0A" w:rsidRPr="00784679">
        <w:rPr>
          <w:rFonts w:hint="cs"/>
          <w:rtl/>
        </w:rPr>
        <w:t xml:space="preserve"> </w:t>
      </w:r>
      <w:r w:rsidR="008D291A" w:rsidRPr="00784679">
        <w:rPr>
          <w:rFonts w:hint="cs"/>
          <w:rtl/>
        </w:rPr>
        <w:t>ו</w:t>
      </w:r>
      <w:r w:rsidR="001717D1">
        <w:rPr>
          <w:rFonts w:hint="cs"/>
          <w:rtl/>
        </w:rPr>
        <w:t>מ</w:t>
      </w:r>
      <w:r w:rsidR="00D13F4D">
        <w:rPr>
          <w:rFonts w:hint="cs"/>
          <w:rtl/>
        </w:rPr>
        <w:t>סינגפור</w:t>
      </w:r>
      <w:r w:rsidR="008D291A" w:rsidRPr="00784679">
        <w:rPr>
          <w:rFonts w:hint="cs"/>
          <w:rtl/>
        </w:rPr>
        <w:t>.</w:t>
      </w:r>
    </w:p>
    <w:p w:rsidR="00B6635A" w:rsidRPr="0041276E" w:rsidRDefault="0041276E" w:rsidP="0041276E">
      <w:pPr>
        <w:pStyle w:val="BodyText2"/>
        <w:spacing w:before="120"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תרשים 4 - </w:t>
      </w:r>
      <w:r w:rsidRPr="0041276E">
        <w:rPr>
          <w:b/>
          <w:bCs/>
          <w:rtl/>
        </w:rPr>
        <w:t>יתרות השקעות ישירות של תושבי חוץ בישראל (</w:t>
      </w:r>
      <w:r w:rsidRPr="0041276E">
        <w:rPr>
          <w:b/>
          <w:bCs/>
        </w:rPr>
        <w:t>IN</w:t>
      </w:r>
      <w:r>
        <w:rPr>
          <w:b/>
          <w:bCs/>
          <w:rtl/>
        </w:rPr>
        <w:t>)</w:t>
      </w:r>
      <w:r w:rsidRPr="0041276E">
        <w:rPr>
          <w:b/>
          <w:bCs/>
          <w:rtl/>
        </w:rPr>
        <w:t xml:space="preserve"> לפי יבשות עיקריות</w:t>
      </w:r>
      <w:r>
        <w:rPr>
          <w:rFonts w:hint="cs"/>
          <w:b/>
          <w:bCs/>
          <w:rtl/>
        </w:rPr>
        <w:t>, 2017</w:t>
      </w:r>
    </w:p>
    <w:p w:rsidR="00A83DD7" w:rsidRDefault="00A83DD7" w:rsidP="00A83DD7">
      <w:pPr>
        <w:pStyle w:val="BodyText2"/>
        <w:spacing w:line="360" w:lineRule="auto"/>
        <w:jc w:val="center"/>
        <w:rPr>
          <w:rtl/>
        </w:rPr>
      </w:pPr>
      <w:r>
        <w:rPr>
          <w:noProof/>
        </w:rPr>
        <w:drawing>
          <wp:inline distT="0" distB="0" distL="0" distR="0" wp14:anchorId="79A12C12" wp14:editId="37249FC2">
            <wp:extent cx="2950234" cy="2078438"/>
            <wp:effectExtent l="0" t="0" r="2540" b="0"/>
            <wp:docPr id="24" name="Picture 24" descr="תרשים 4 - יתרות השקעות ישירות של תושבי חוץ בישראל (IN) לפי יבשות עיקריות, 2017" title="תרשים 4 - יתרות השקעות ישירות של תושבי חוץ בישראל (IN) לפי יבשות עיקריות,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93" cy="208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486" w:rsidRPr="003C5C74" w:rsidRDefault="00F95C95" w:rsidP="00A334E2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lastRenderedPageBreak/>
        <w:t>הערה: עבור</w:t>
      </w:r>
      <w:r w:rsidR="00DE66E5" w:rsidRPr="00784679">
        <w:rPr>
          <w:rFonts w:hint="cs"/>
          <w:rtl/>
        </w:rPr>
        <w:t xml:space="preserve"> </w:t>
      </w:r>
      <w:r w:rsidR="0090214E">
        <w:rPr>
          <w:rFonts w:hint="cs"/>
          <w:rtl/>
        </w:rPr>
        <w:t>38.8</w:t>
      </w:r>
      <w:r w:rsidR="00DE66E5" w:rsidRPr="00784679">
        <w:rPr>
          <w:rFonts w:hint="cs"/>
          <w:rtl/>
        </w:rPr>
        <w:t>% מיתרות ההשקעה אין נתונים לגבי ההתפלגות הגאוגרפית.</w:t>
      </w:r>
    </w:p>
    <w:p w:rsidR="00D5670F" w:rsidRPr="003C5C74" w:rsidRDefault="007B0F35" w:rsidP="002C4117">
      <w:pPr>
        <w:pStyle w:val="4"/>
        <w:rPr>
          <w:rtl/>
        </w:rPr>
      </w:pPr>
      <w:r w:rsidRPr="003C5C74">
        <w:rPr>
          <w:rFonts w:hint="cs"/>
          <w:rtl/>
        </w:rPr>
        <w:t xml:space="preserve">יתרות </w:t>
      </w:r>
      <w:r w:rsidR="00A615B8" w:rsidRPr="003C5C74">
        <w:rPr>
          <w:rFonts w:hint="cs"/>
          <w:rtl/>
        </w:rPr>
        <w:t>השקעות ישירות לפי ענפי</w:t>
      </w:r>
      <w:r w:rsidR="002C4117">
        <w:rPr>
          <w:rFonts w:hint="cs"/>
          <w:rtl/>
        </w:rPr>
        <w:t xml:space="preserve"> כלכלה</w:t>
      </w:r>
      <w:r w:rsidR="00A615B8" w:rsidRPr="003C5C74">
        <w:rPr>
          <w:rFonts w:hint="cs"/>
          <w:rtl/>
        </w:rPr>
        <w:t xml:space="preserve"> ומדינות</w:t>
      </w:r>
      <w:r w:rsidR="00EB765C" w:rsidRPr="003C5C74">
        <w:rPr>
          <w:rFonts w:hint="cs"/>
          <w:rtl/>
        </w:rPr>
        <w:t xml:space="preserve"> (לוח 4)</w:t>
      </w:r>
    </w:p>
    <w:p w:rsidR="001310B5" w:rsidRDefault="001B6724" w:rsidP="00F73A41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יתרות ההשקעות העיקריות </w:t>
      </w:r>
      <w:r w:rsidR="00372FE7" w:rsidRPr="00784679">
        <w:rPr>
          <w:rFonts w:hint="cs"/>
          <w:rtl/>
        </w:rPr>
        <w:t>בשנת 201</w:t>
      </w:r>
      <w:r w:rsidR="00372FE7">
        <w:rPr>
          <w:rFonts w:hint="cs"/>
          <w:rtl/>
        </w:rPr>
        <w:t xml:space="preserve">7 </w:t>
      </w:r>
      <w:r w:rsidR="00F92020">
        <w:rPr>
          <w:rFonts w:hint="cs"/>
          <w:rtl/>
        </w:rPr>
        <w:t xml:space="preserve">היו </w:t>
      </w:r>
      <w:r>
        <w:rPr>
          <w:rFonts w:hint="cs"/>
          <w:rtl/>
        </w:rPr>
        <w:t>ב</w:t>
      </w:r>
      <w:r w:rsidR="00372FE7">
        <w:rPr>
          <w:rFonts w:hint="cs"/>
          <w:rtl/>
        </w:rPr>
        <w:t>ענפי השירותים</w:t>
      </w:r>
      <w:r w:rsidR="00F73A41">
        <w:rPr>
          <w:rFonts w:hint="cs"/>
          <w:rtl/>
        </w:rPr>
        <w:t xml:space="preserve"> ו</w:t>
      </w:r>
      <w:r w:rsidR="00F73A41" w:rsidRPr="00784679">
        <w:rPr>
          <w:rFonts w:hint="cs"/>
          <w:rtl/>
        </w:rPr>
        <w:t>בע</w:t>
      </w:r>
      <w:r w:rsidR="00F73A41">
        <w:rPr>
          <w:rFonts w:hint="cs"/>
          <w:rtl/>
        </w:rPr>
        <w:t>נף</w:t>
      </w:r>
      <w:r w:rsidR="00F73A41" w:rsidRPr="00784679">
        <w:rPr>
          <w:rFonts w:hint="cs"/>
          <w:rtl/>
        </w:rPr>
        <w:t xml:space="preserve"> </w:t>
      </w:r>
      <w:r w:rsidR="00F73A41">
        <w:rPr>
          <w:rFonts w:hint="cs"/>
          <w:rtl/>
        </w:rPr>
        <w:t>התעשייה.</w:t>
      </w:r>
      <w:r w:rsidR="00372FE7">
        <w:rPr>
          <w:rFonts w:hint="cs"/>
          <w:rtl/>
        </w:rPr>
        <w:t xml:space="preserve"> </w:t>
      </w:r>
      <w:r w:rsidR="00F73A41">
        <w:rPr>
          <w:rFonts w:hint="cs"/>
          <w:rtl/>
        </w:rPr>
        <w:t xml:space="preserve">בענפי השירותים </w:t>
      </w:r>
      <w:r w:rsidR="00055F5A">
        <w:rPr>
          <w:rFonts w:hint="eastAsia"/>
          <w:rtl/>
        </w:rPr>
        <w:t>-</w:t>
      </w:r>
      <w:r w:rsidR="00F73A41">
        <w:rPr>
          <w:rFonts w:hint="cs"/>
          <w:rtl/>
        </w:rPr>
        <w:t xml:space="preserve"> </w:t>
      </w:r>
      <w:r w:rsidR="00372FE7">
        <w:rPr>
          <w:rFonts w:hint="cs"/>
          <w:rtl/>
        </w:rPr>
        <w:t>מקורן בארה"ב</w:t>
      </w:r>
      <w:r w:rsidR="00145440">
        <w:rPr>
          <w:rFonts w:hint="cs"/>
          <w:rtl/>
        </w:rPr>
        <w:t xml:space="preserve"> </w:t>
      </w:r>
      <w:r w:rsidR="00372FE7" w:rsidRPr="00784679">
        <w:rPr>
          <w:rFonts w:hint="cs"/>
          <w:rtl/>
        </w:rPr>
        <w:t>(</w:t>
      </w:r>
      <w:r w:rsidR="00372FE7">
        <w:rPr>
          <w:rFonts w:hint="cs"/>
          <w:rtl/>
        </w:rPr>
        <w:t>9.6</w:t>
      </w:r>
      <w:r w:rsidR="00372FE7" w:rsidRPr="00784679">
        <w:rPr>
          <w:rFonts w:hint="cs"/>
          <w:rtl/>
        </w:rPr>
        <w:t xml:space="preserve"> מיליארד דולר)</w:t>
      </w:r>
      <w:r w:rsidR="00514A25">
        <w:rPr>
          <w:rFonts w:hint="cs"/>
          <w:rtl/>
        </w:rPr>
        <w:t>,</w:t>
      </w:r>
      <w:r w:rsidR="00372FE7">
        <w:rPr>
          <w:rFonts w:hint="cs"/>
          <w:rtl/>
        </w:rPr>
        <w:t xml:space="preserve"> </w:t>
      </w:r>
      <w:r w:rsidR="00F73A41">
        <w:rPr>
          <w:rFonts w:hint="cs"/>
          <w:rtl/>
        </w:rPr>
        <w:t>ב</w:t>
      </w:r>
      <w:r w:rsidR="00372FE7">
        <w:rPr>
          <w:rFonts w:hint="cs"/>
          <w:rtl/>
        </w:rPr>
        <w:t>הולנד</w:t>
      </w:r>
      <w:r w:rsidR="00145440">
        <w:rPr>
          <w:rFonts w:hint="cs"/>
          <w:rtl/>
        </w:rPr>
        <w:t xml:space="preserve"> </w:t>
      </w:r>
      <w:r w:rsidR="00372FE7" w:rsidRPr="00784679">
        <w:rPr>
          <w:rFonts w:hint="cs"/>
          <w:rtl/>
        </w:rPr>
        <w:t>(</w:t>
      </w:r>
      <w:r w:rsidR="00372FE7">
        <w:rPr>
          <w:rFonts w:hint="cs"/>
          <w:rtl/>
        </w:rPr>
        <w:t>4.4</w:t>
      </w:r>
      <w:r w:rsidR="00372FE7" w:rsidRPr="00784679">
        <w:rPr>
          <w:rFonts w:hint="cs"/>
          <w:rtl/>
        </w:rPr>
        <w:t xml:space="preserve"> מיליארד דולר)</w:t>
      </w:r>
      <w:r w:rsidR="00514A25">
        <w:rPr>
          <w:rFonts w:hint="cs"/>
          <w:rtl/>
        </w:rPr>
        <w:t xml:space="preserve"> ו</w:t>
      </w:r>
      <w:r w:rsidR="00F73A41">
        <w:rPr>
          <w:rFonts w:hint="cs"/>
          <w:rtl/>
        </w:rPr>
        <w:t>ב</w:t>
      </w:r>
      <w:r w:rsidR="00514A25">
        <w:rPr>
          <w:rFonts w:hint="cs"/>
          <w:rtl/>
        </w:rPr>
        <w:t xml:space="preserve">סין </w:t>
      </w:r>
      <w:r w:rsidR="00514A25" w:rsidRPr="00784679">
        <w:rPr>
          <w:rFonts w:hint="cs"/>
          <w:rtl/>
        </w:rPr>
        <w:t>(</w:t>
      </w:r>
      <w:r w:rsidR="00514A25">
        <w:rPr>
          <w:rFonts w:hint="cs"/>
          <w:rtl/>
        </w:rPr>
        <w:t>3.1</w:t>
      </w:r>
      <w:r w:rsidR="00F73A41">
        <w:rPr>
          <w:rFonts w:hint="cs"/>
          <w:rtl/>
        </w:rPr>
        <w:t xml:space="preserve"> מיליארד דולר).</w:t>
      </w:r>
      <w:r w:rsidR="00A22427" w:rsidRPr="00784679">
        <w:rPr>
          <w:rFonts w:hint="cs"/>
          <w:rtl/>
        </w:rPr>
        <w:t xml:space="preserve"> </w:t>
      </w:r>
      <w:r w:rsidR="00D74F72" w:rsidRPr="00784679">
        <w:rPr>
          <w:rFonts w:hint="cs"/>
          <w:rtl/>
        </w:rPr>
        <w:t>בע</w:t>
      </w:r>
      <w:r w:rsidR="00372FE7">
        <w:rPr>
          <w:rFonts w:hint="cs"/>
          <w:rtl/>
        </w:rPr>
        <w:t>נף</w:t>
      </w:r>
      <w:r w:rsidR="00D74F72" w:rsidRPr="00784679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372FE7">
        <w:rPr>
          <w:rFonts w:hint="cs"/>
          <w:rtl/>
        </w:rPr>
        <w:t>תעשייה</w:t>
      </w:r>
      <w:r w:rsidR="00145440">
        <w:rPr>
          <w:rFonts w:hint="cs"/>
          <w:rtl/>
        </w:rPr>
        <w:t xml:space="preserve"> </w:t>
      </w:r>
      <w:r w:rsidR="00055F5A">
        <w:rPr>
          <w:rFonts w:hint="eastAsia"/>
          <w:rtl/>
        </w:rPr>
        <w:t>-</w:t>
      </w:r>
      <w:r w:rsidR="00372FE7">
        <w:rPr>
          <w:rFonts w:hint="cs"/>
          <w:rtl/>
        </w:rPr>
        <w:t xml:space="preserve"> </w:t>
      </w:r>
      <w:r w:rsidR="00F92020">
        <w:rPr>
          <w:rFonts w:hint="cs"/>
          <w:rtl/>
        </w:rPr>
        <w:t xml:space="preserve">מקורן </w:t>
      </w:r>
      <w:r w:rsidR="00372FE7">
        <w:rPr>
          <w:rFonts w:hint="cs"/>
          <w:rtl/>
        </w:rPr>
        <w:t>בארה"ב</w:t>
      </w:r>
      <w:r w:rsidR="00145440">
        <w:rPr>
          <w:rFonts w:hint="cs"/>
          <w:rtl/>
        </w:rPr>
        <w:t xml:space="preserve"> </w:t>
      </w:r>
      <w:r w:rsidR="00372FE7">
        <w:rPr>
          <w:rFonts w:hint="cs"/>
          <w:rtl/>
        </w:rPr>
        <w:t>(</w:t>
      </w:r>
      <w:r>
        <w:rPr>
          <w:rFonts w:hint="cs"/>
          <w:rtl/>
        </w:rPr>
        <w:t>9.</w:t>
      </w:r>
      <w:r w:rsidR="00372FE7">
        <w:rPr>
          <w:rFonts w:hint="cs"/>
          <w:rtl/>
        </w:rPr>
        <w:t>2</w:t>
      </w:r>
      <w:r w:rsidR="00A615B8" w:rsidRPr="00784679">
        <w:rPr>
          <w:rFonts w:hint="cs"/>
          <w:rtl/>
        </w:rPr>
        <w:t xml:space="preserve"> מ</w:t>
      </w:r>
      <w:r w:rsidR="00BF1C95" w:rsidRPr="00784679">
        <w:rPr>
          <w:rFonts w:hint="cs"/>
          <w:rtl/>
        </w:rPr>
        <w:t>י</w:t>
      </w:r>
      <w:r w:rsidR="00B37480" w:rsidRPr="00784679">
        <w:rPr>
          <w:rFonts w:hint="cs"/>
          <w:rtl/>
        </w:rPr>
        <w:t xml:space="preserve">ליארד </w:t>
      </w:r>
      <w:r w:rsidR="00B35AA3" w:rsidRPr="00784679">
        <w:rPr>
          <w:rFonts w:hint="cs"/>
          <w:rtl/>
        </w:rPr>
        <w:t>דולר</w:t>
      </w:r>
      <w:r w:rsidR="00372FE7">
        <w:rPr>
          <w:rFonts w:hint="cs"/>
          <w:rtl/>
        </w:rPr>
        <w:t>) ו</w:t>
      </w:r>
      <w:r w:rsidR="00F73A41">
        <w:rPr>
          <w:rFonts w:hint="cs"/>
          <w:rtl/>
        </w:rPr>
        <w:t>ב</w:t>
      </w:r>
      <w:r w:rsidR="00372FE7">
        <w:rPr>
          <w:rFonts w:hint="cs"/>
          <w:rtl/>
        </w:rPr>
        <w:t>הולנד</w:t>
      </w:r>
      <w:r w:rsidR="00145440">
        <w:rPr>
          <w:rFonts w:hint="cs"/>
          <w:rtl/>
        </w:rPr>
        <w:t xml:space="preserve"> </w:t>
      </w:r>
      <w:r w:rsidR="00372FE7" w:rsidRPr="00784679">
        <w:rPr>
          <w:rFonts w:hint="cs"/>
          <w:rtl/>
        </w:rPr>
        <w:t>(</w:t>
      </w:r>
      <w:r w:rsidR="00372FE7">
        <w:rPr>
          <w:rFonts w:hint="cs"/>
          <w:rtl/>
        </w:rPr>
        <w:t>7.7 מיליארד דולר).</w:t>
      </w:r>
    </w:p>
    <w:p w:rsidR="006B5054" w:rsidRPr="00841072" w:rsidRDefault="006B5054" w:rsidP="00893CA6">
      <w:pPr>
        <w:pStyle w:val="3"/>
        <w:rPr>
          <w:rtl/>
        </w:rPr>
      </w:pPr>
      <w:r w:rsidRPr="00841072">
        <w:rPr>
          <w:rFonts w:hint="cs"/>
          <w:rtl/>
        </w:rPr>
        <w:t>תנועות</w:t>
      </w:r>
      <w:r w:rsidR="00AE2788" w:rsidRPr="00841072">
        <w:rPr>
          <w:rFonts w:hint="cs"/>
          <w:rtl/>
        </w:rPr>
        <w:t xml:space="preserve"> </w:t>
      </w:r>
      <w:r w:rsidR="00521001">
        <w:rPr>
          <w:rFonts w:hint="cs"/>
          <w:rtl/>
        </w:rPr>
        <w:t>ב</w:t>
      </w:r>
      <w:r w:rsidR="00E83408" w:rsidRPr="00841072">
        <w:rPr>
          <w:rFonts w:hint="cs"/>
          <w:rtl/>
        </w:rPr>
        <w:t>השקעות נכנסות</w:t>
      </w:r>
      <w:r w:rsidR="004730CF" w:rsidRPr="00841072">
        <w:rPr>
          <w:rFonts w:hint="cs"/>
          <w:rtl/>
        </w:rPr>
        <w:t xml:space="preserve"> (לוחות </w:t>
      </w:r>
      <w:r w:rsidR="00893CA6">
        <w:rPr>
          <w:rFonts w:hint="cs"/>
          <w:rtl/>
        </w:rPr>
        <w:t>7-5</w:t>
      </w:r>
      <w:r w:rsidR="004730CF" w:rsidRPr="00841072">
        <w:rPr>
          <w:rFonts w:hint="cs"/>
          <w:rtl/>
        </w:rPr>
        <w:t>)</w:t>
      </w:r>
    </w:p>
    <w:p w:rsidR="00BF1E7F" w:rsidRPr="00784679" w:rsidRDefault="00BF1E7F" w:rsidP="00E6709B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תנועות </w:t>
      </w:r>
      <w:r w:rsidR="00383C1E">
        <w:rPr>
          <w:rFonts w:hint="cs"/>
          <w:rtl/>
        </w:rPr>
        <w:t>ב</w:t>
      </w:r>
      <w:r w:rsidRPr="00784679">
        <w:rPr>
          <w:rFonts w:hint="cs"/>
          <w:rtl/>
        </w:rPr>
        <w:t xml:space="preserve">השקעה </w:t>
      </w:r>
      <w:r w:rsidR="00E6709B">
        <w:rPr>
          <w:rFonts w:hint="cs"/>
          <w:rtl/>
        </w:rPr>
        <w:t xml:space="preserve"> נכנסת </w:t>
      </w:r>
      <w:r w:rsidRPr="00784679">
        <w:rPr>
          <w:rFonts w:hint="cs"/>
          <w:rtl/>
        </w:rPr>
        <w:t xml:space="preserve">בשנת </w:t>
      </w:r>
      <w:r w:rsidR="00D01DBF" w:rsidRPr="00784679">
        <w:rPr>
          <w:rFonts w:hint="cs"/>
          <w:rtl/>
        </w:rPr>
        <w:t>201</w:t>
      </w:r>
      <w:r w:rsidR="007F27B6">
        <w:rPr>
          <w:rFonts w:hint="cs"/>
          <w:rtl/>
        </w:rPr>
        <w:t>7</w:t>
      </w:r>
      <w:r w:rsidRPr="00784679">
        <w:rPr>
          <w:rFonts w:hint="cs"/>
          <w:rtl/>
        </w:rPr>
        <w:t xml:space="preserve"> הסתכמו ב-</w:t>
      </w:r>
      <w:r w:rsidR="00353020" w:rsidRPr="00784679">
        <w:rPr>
          <w:rFonts w:hint="cs"/>
          <w:rtl/>
        </w:rPr>
        <w:t>1</w:t>
      </w:r>
      <w:r w:rsidR="007F27B6">
        <w:rPr>
          <w:rFonts w:hint="cs"/>
          <w:rtl/>
        </w:rPr>
        <w:t>8.</w:t>
      </w:r>
      <w:r w:rsidR="007B5994">
        <w:rPr>
          <w:rFonts w:hint="cs"/>
          <w:rtl/>
        </w:rPr>
        <w:t>2</w:t>
      </w:r>
      <w:r w:rsidRPr="00784679">
        <w:rPr>
          <w:rFonts w:hint="cs"/>
          <w:rtl/>
        </w:rPr>
        <w:t xml:space="preserve"> מיליארד </w:t>
      </w:r>
      <w:r w:rsidR="00B35AA3" w:rsidRPr="00784679">
        <w:rPr>
          <w:rFonts w:hint="cs"/>
          <w:rtl/>
        </w:rPr>
        <w:t>דולר</w:t>
      </w:r>
      <w:r w:rsidR="005E4A65">
        <w:rPr>
          <w:rFonts w:hint="cs"/>
          <w:rtl/>
        </w:rPr>
        <w:t>,</w:t>
      </w:r>
      <w:r w:rsidRPr="00784679">
        <w:rPr>
          <w:rFonts w:hint="cs"/>
          <w:rtl/>
        </w:rPr>
        <w:t xml:space="preserve"> </w:t>
      </w:r>
      <w:r w:rsidR="005E4A65">
        <w:rPr>
          <w:rFonts w:hint="cs"/>
          <w:rtl/>
        </w:rPr>
        <w:t>עלייה מ</w:t>
      </w:r>
      <w:r w:rsidR="00ED0D7F" w:rsidRPr="00784679">
        <w:rPr>
          <w:rFonts w:hint="cs"/>
          <w:rtl/>
        </w:rPr>
        <w:t>-</w:t>
      </w:r>
      <w:r w:rsidR="007F27B6">
        <w:rPr>
          <w:rFonts w:hint="cs"/>
          <w:rtl/>
        </w:rPr>
        <w:t>12</w:t>
      </w:r>
      <w:r w:rsidRPr="00784679">
        <w:rPr>
          <w:rFonts w:hint="cs"/>
          <w:rtl/>
        </w:rPr>
        <w:t xml:space="preserve"> מיליארד </w:t>
      </w:r>
      <w:r w:rsidR="00B35AA3" w:rsidRPr="00784679">
        <w:rPr>
          <w:rFonts w:hint="cs"/>
          <w:rtl/>
        </w:rPr>
        <w:t>דולר</w:t>
      </w:r>
      <w:r w:rsidRPr="00784679">
        <w:rPr>
          <w:rFonts w:hint="cs"/>
          <w:rtl/>
        </w:rPr>
        <w:t xml:space="preserve"> בשנת </w:t>
      </w:r>
      <w:r w:rsidR="00D01DBF" w:rsidRPr="00784679">
        <w:rPr>
          <w:rFonts w:hint="cs"/>
          <w:rtl/>
        </w:rPr>
        <w:t>201</w:t>
      </w:r>
      <w:r w:rsidR="007F27B6">
        <w:rPr>
          <w:rFonts w:hint="cs"/>
          <w:rtl/>
        </w:rPr>
        <w:t>6</w:t>
      </w:r>
      <w:r w:rsidRPr="00784679">
        <w:rPr>
          <w:rFonts w:hint="cs"/>
          <w:rtl/>
        </w:rPr>
        <w:t>.</w:t>
      </w:r>
    </w:p>
    <w:p w:rsidR="00802327" w:rsidRPr="00841072" w:rsidRDefault="007B0F35" w:rsidP="00986F21">
      <w:pPr>
        <w:pStyle w:val="4"/>
        <w:rPr>
          <w:rtl/>
        </w:rPr>
      </w:pPr>
      <w:r w:rsidRPr="00841072">
        <w:rPr>
          <w:rFonts w:hint="cs"/>
          <w:rtl/>
        </w:rPr>
        <w:t xml:space="preserve">תנועות </w:t>
      </w:r>
      <w:r w:rsidR="00521001">
        <w:rPr>
          <w:rFonts w:hint="cs"/>
          <w:rtl/>
        </w:rPr>
        <w:t>ב</w:t>
      </w:r>
      <w:r w:rsidR="00187E1D" w:rsidRPr="00841072">
        <w:rPr>
          <w:rFonts w:hint="cs"/>
          <w:rtl/>
        </w:rPr>
        <w:t xml:space="preserve">השקעות ישירות </w:t>
      </w:r>
      <w:r w:rsidR="00E6709B">
        <w:rPr>
          <w:rFonts w:hint="cs"/>
          <w:rtl/>
        </w:rPr>
        <w:t xml:space="preserve">נכנסות </w:t>
      </w:r>
      <w:r w:rsidR="00187E1D" w:rsidRPr="00841072">
        <w:rPr>
          <w:rFonts w:hint="cs"/>
          <w:rtl/>
        </w:rPr>
        <w:t>לפי ענף כלכלי</w:t>
      </w:r>
      <w:r w:rsidR="00802327" w:rsidRPr="00841072">
        <w:rPr>
          <w:rFonts w:hint="cs"/>
          <w:rtl/>
        </w:rPr>
        <w:t xml:space="preserve"> (לוחות 5 ו-7)</w:t>
      </w:r>
    </w:p>
    <w:p w:rsidR="00BF1E7F" w:rsidRDefault="00AD47A5" w:rsidP="007D6153">
      <w:pPr>
        <w:pStyle w:val="BodyText2"/>
        <w:spacing w:before="120" w:line="360" w:lineRule="auto"/>
        <w:jc w:val="left"/>
        <w:rPr>
          <w:rtl/>
        </w:rPr>
      </w:pPr>
      <w:r w:rsidRPr="00784679">
        <w:rPr>
          <w:rFonts w:hint="cs"/>
          <w:rtl/>
        </w:rPr>
        <w:t>ה</w:t>
      </w:r>
      <w:r w:rsidR="00BF1E7F" w:rsidRPr="00784679">
        <w:rPr>
          <w:rFonts w:hint="cs"/>
          <w:rtl/>
        </w:rPr>
        <w:t>הש</w:t>
      </w:r>
      <w:r w:rsidR="00226962" w:rsidRPr="00784679">
        <w:rPr>
          <w:rFonts w:hint="cs"/>
          <w:rtl/>
        </w:rPr>
        <w:t xml:space="preserve">קעות </w:t>
      </w:r>
      <w:r w:rsidR="00E6709B">
        <w:rPr>
          <w:rFonts w:hint="cs"/>
          <w:rtl/>
        </w:rPr>
        <w:t xml:space="preserve">הנכנסות </w:t>
      </w:r>
      <w:r w:rsidR="00226962" w:rsidRPr="00784679">
        <w:rPr>
          <w:rFonts w:hint="cs"/>
          <w:rtl/>
        </w:rPr>
        <w:t xml:space="preserve">הבולטות בשנת </w:t>
      </w:r>
      <w:r w:rsidR="00D01DBF" w:rsidRPr="00784679">
        <w:rPr>
          <w:rFonts w:hint="cs"/>
          <w:rtl/>
        </w:rPr>
        <w:t>201</w:t>
      </w:r>
      <w:r w:rsidR="00AE3C96">
        <w:rPr>
          <w:rFonts w:hint="cs"/>
          <w:rtl/>
        </w:rPr>
        <w:t>7</w:t>
      </w:r>
      <w:r w:rsidR="00BF1E7F" w:rsidRPr="00784679">
        <w:rPr>
          <w:rFonts w:hint="cs"/>
          <w:rtl/>
        </w:rPr>
        <w:t xml:space="preserve"> </w:t>
      </w:r>
      <w:r w:rsidR="00064B45" w:rsidRPr="00784679">
        <w:rPr>
          <w:rFonts w:hint="cs"/>
          <w:rtl/>
        </w:rPr>
        <w:t xml:space="preserve">היו </w:t>
      </w:r>
      <w:r w:rsidR="0038371F" w:rsidRPr="00784679">
        <w:rPr>
          <w:rFonts w:hint="cs"/>
          <w:rtl/>
        </w:rPr>
        <w:t xml:space="preserve">בענף </w:t>
      </w:r>
      <w:r w:rsidR="0038371F" w:rsidRPr="00784679">
        <w:rPr>
          <w:rtl/>
        </w:rPr>
        <w:t xml:space="preserve">שירותי מידע ותקשורת, תכנות וייעוץ בתחום המחשבים ושירותים אחרים </w:t>
      </w:r>
      <w:r w:rsidR="00055F5A">
        <w:rPr>
          <w:rtl/>
        </w:rPr>
        <w:t>-</w:t>
      </w:r>
      <w:r w:rsidR="0038371F" w:rsidRPr="00784679">
        <w:rPr>
          <w:rFonts w:hint="cs"/>
          <w:rtl/>
        </w:rPr>
        <w:t xml:space="preserve"> </w:t>
      </w:r>
      <w:r w:rsidR="00AE3C96">
        <w:rPr>
          <w:rFonts w:hint="cs"/>
          <w:rtl/>
        </w:rPr>
        <w:t>3.2</w:t>
      </w:r>
      <w:r w:rsidR="0038371F" w:rsidRPr="00784679">
        <w:rPr>
          <w:rFonts w:hint="cs"/>
          <w:rtl/>
        </w:rPr>
        <w:t xml:space="preserve"> מיליארד דולר (</w:t>
      </w:r>
      <w:r w:rsidR="00AE3C96">
        <w:rPr>
          <w:rFonts w:hint="cs"/>
          <w:rtl/>
        </w:rPr>
        <w:t>17.8</w:t>
      </w:r>
      <w:r w:rsidR="0038371F" w:rsidRPr="00784679">
        <w:rPr>
          <w:rFonts w:hint="cs"/>
          <w:rtl/>
        </w:rPr>
        <w:t>%</w:t>
      </w:r>
      <w:r w:rsidR="00AE3C96" w:rsidRPr="00AE3C96">
        <w:rPr>
          <w:rFonts w:hint="cs"/>
          <w:rtl/>
        </w:rPr>
        <w:t xml:space="preserve"> </w:t>
      </w:r>
      <w:r w:rsidR="00AE3C96" w:rsidRPr="00784679">
        <w:rPr>
          <w:rFonts w:hint="cs"/>
          <w:rtl/>
        </w:rPr>
        <w:t>מכלל תנועות ההשקעה</w:t>
      </w:r>
      <w:r w:rsidR="0038371F" w:rsidRPr="00784679">
        <w:rPr>
          <w:rFonts w:hint="cs"/>
          <w:rtl/>
        </w:rPr>
        <w:t xml:space="preserve">), </w:t>
      </w:r>
      <w:r w:rsidR="00BF1E7F" w:rsidRPr="00784679">
        <w:rPr>
          <w:rFonts w:hint="cs"/>
          <w:rtl/>
        </w:rPr>
        <w:t>בענף</w:t>
      </w:r>
      <w:r w:rsidR="00592717" w:rsidRPr="00784679">
        <w:rPr>
          <w:rFonts w:hint="cs"/>
          <w:rtl/>
        </w:rPr>
        <w:t xml:space="preserve"> </w:t>
      </w:r>
      <w:r w:rsidR="00AE3C96" w:rsidRPr="00AE3C96">
        <w:rPr>
          <w:rtl/>
        </w:rPr>
        <w:t>ייצור מחשבים, מכשור אלקטרוני ואופטי וציוד חשמלי</w:t>
      </w:r>
      <w:r w:rsidR="00AE3C96">
        <w:rPr>
          <w:rtl/>
        </w:rPr>
        <w:t xml:space="preserve"> </w:t>
      </w:r>
      <w:r w:rsidR="00055F5A">
        <w:rPr>
          <w:rtl/>
        </w:rPr>
        <w:t>-</w:t>
      </w:r>
      <w:r w:rsidR="00064B45" w:rsidRPr="00784679">
        <w:rPr>
          <w:rFonts w:hint="cs"/>
          <w:rtl/>
        </w:rPr>
        <w:t xml:space="preserve"> </w:t>
      </w:r>
      <w:r w:rsidR="00AE3C96">
        <w:rPr>
          <w:rFonts w:hint="cs"/>
          <w:rtl/>
        </w:rPr>
        <w:t>2.3</w:t>
      </w:r>
      <w:r w:rsidR="00843032" w:rsidRPr="00784679">
        <w:rPr>
          <w:rFonts w:hint="cs"/>
          <w:rtl/>
        </w:rPr>
        <w:t xml:space="preserve"> מיליארד </w:t>
      </w:r>
      <w:r w:rsidR="00B35AA3" w:rsidRPr="00784679">
        <w:rPr>
          <w:rFonts w:hint="cs"/>
          <w:rtl/>
        </w:rPr>
        <w:t>דולר</w:t>
      </w:r>
      <w:r w:rsidR="00064B45" w:rsidRPr="00784679">
        <w:rPr>
          <w:rFonts w:hint="cs"/>
          <w:rtl/>
        </w:rPr>
        <w:t xml:space="preserve"> (</w:t>
      </w:r>
      <w:r w:rsidR="0038371F" w:rsidRPr="00784679">
        <w:rPr>
          <w:rFonts w:hint="cs"/>
          <w:rtl/>
        </w:rPr>
        <w:t>12.</w:t>
      </w:r>
      <w:r w:rsidR="00AE3C96">
        <w:rPr>
          <w:rFonts w:hint="cs"/>
          <w:rtl/>
        </w:rPr>
        <w:t>9</w:t>
      </w:r>
      <w:r w:rsidR="00064B45" w:rsidRPr="00784679">
        <w:rPr>
          <w:rFonts w:hint="cs"/>
          <w:rtl/>
        </w:rPr>
        <w:t>% מכלל תנועות ההשקעה)</w:t>
      </w:r>
      <w:r w:rsidR="004B509C" w:rsidRPr="00784679">
        <w:rPr>
          <w:rFonts w:hint="cs"/>
          <w:rtl/>
        </w:rPr>
        <w:t xml:space="preserve">, בענף </w:t>
      </w:r>
      <w:r w:rsidR="00AE3C96" w:rsidRPr="00AE3C96">
        <w:rPr>
          <w:rtl/>
        </w:rPr>
        <w:t>מחקר מדעי ופיתוח</w:t>
      </w:r>
      <w:r w:rsidR="00AE3C96">
        <w:rPr>
          <w:rtl/>
        </w:rPr>
        <w:t xml:space="preserve"> </w:t>
      </w:r>
      <w:r w:rsidR="00055F5A">
        <w:rPr>
          <w:rFonts w:hint="cs"/>
          <w:rtl/>
        </w:rPr>
        <w:t>-</w:t>
      </w:r>
      <w:r w:rsidR="004B509C" w:rsidRPr="00784679">
        <w:rPr>
          <w:rFonts w:hint="cs"/>
          <w:rtl/>
        </w:rPr>
        <w:t xml:space="preserve"> </w:t>
      </w:r>
      <w:r w:rsidR="0038371F" w:rsidRPr="00784679">
        <w:rPr>
          <w:rFonts w:hint="cs"/>
          <w:rtl/>
        </w:rPr>
        <w:t>1.</w:t>
      </w:r>
      <w:r w:rsidR="00AE3C96">
        <w:rPr>
          <w:rFonts w:hint="cs"/>
          <w:rtl/>
        </w:rPr>
        <w:t>9</w:t>
      </w:r>
      <w:r w:rsidR="004B509C" w:rsidRPr="00784679">
        <w:rPr>
          <w:rFonts w:hint="cs"/>
          <w:rtl/>
        </w:rPr>
        <w:t xml:space="preserve"> מיליארד דולר (</w:t>
      </w:r>
      <w:r w:rsidR="00AE3C96">
        <w:rPr>
          <w:rFonts w:hint="cs"/>
          <w:rtl/>
        </w:rPr>
        <w:t>10.6</w:t>
      </w:r>
      <w:r w:rsidR="004B509C" w:rsidRPr="00784679">
        <w:rPr>
          <w:rFonts w:hint="cs"/>
          <w:rtl/>
        </w:rPr>
        <w:t>%</w:t>
      </w:r>
      <w:r w:rsidR="00AE3C96" w:rsidRPr="00AE3C96">
        <w:rPr>
          <w:rFonts w:hint="cs"/>
          <w:rtl/>
        </w:rPr>
        <w:t xml:space="preserve"> </w:t>
      </w:r>
      <w:r w:rsidR="00AE3C96" w:rsidRPr="00784679">
        <w:rPr>
          <w:rFonts w:hint="cs"/>
          <w:rtl/>
        </w:rPr>
        <w:t>מכלל תנועות ההשקעה</w:t>
      </w:r>
      <w:r w:rsidR="004B509C" w:rsidRPr="00784679">
        <w:rPr>
          <w:rFonts w:hint="cs"/>
          <w:rtl/>
        </w:rPr>
        <w:t>)</w:t>
      </w:r>
      <w:r w:rsidR="00064B45" w:rsidRPr="00784679">
        <w:rPr>
          <w:rFonts w:hint="cs"/>
          <w:rtl/>
        </w:rPr>
        <w:t xml:space="preserve"> </w:t>
      </w:r>
      <w:r w:rsidR="00843032" w:rsidRPr="00784679">
        <w:rPr>
          <w:rFonts w:hint="cs"/>
          <w:rtl/>
        </w:rPr>
        <w:t>ו</w:t>
      </w:r>
      <w:r w:rsidR="00064B45" w:rsidRPr="00784679">
        <w:rPr>
          <w:rFonts w:hint="cs"/>
          <w:rtl/>
        </w:rPr>
        <w:t>ב</w:t>
      </w:r>
      <w:r w:rsidR="00843032" w:rsidRPr="00784679">
        <w:rPr>
          <w:rFonts w:hint="cs"/>
          <w:rtl/>
        </w:rPr>
        <w:t xml:space="preserve">ענף </w:t>
      </w:r>
      <w:r w:rsidR="00AE3C96" w:rsidRPr="00AE3C96">
        <w:rPr>
          <w:rtl/>
        </w:rPr>
        <w:t>שירותים פיננסיים, פרט לביטוח ולקרנות פנסיה</w:t>
      </w:r>
      <w:r w:rsidR="00AE3C96">
        <w:rPr>
          <w:rtl/>
        </w:rPr>
        <w:t xml:space="preserve"> </w:t>
      </w:r>
      <w:r w:rsidR="00055F5A">
        <w:rPr>
          <w:rtl/>
        </w:rPr>
        <w:t>-</w:t>
      </w:r>
      <w:r w:rsidR="00802327" w:rsidRPr="00784679">
        <w:rPr>
          <w:rFonts w:hint="cs"/>
          <w:rtl/>
        </w:rPr>
        <w:t xml:space="preserve"> </w:t>
      </w:r>
      <w:r w:rsidR="00AE3C96">
        <w:rPr>
          <w:rFonts w:hint="cs"/>
          <w:rtl/>
        </w:rPr>
        <w:t>0.5</w:t>
      </w:r>
      <w:r w:rsidR="00843032" w:rsidRPr="00784679">
        <w:rPr>
          <w:rFonts w:hint="cs"/>
          <w:rtl/>
        </w:rPr>
        <w:t xml:space="preserve"> מיליארד </w:t>
      </w:r>
      <w:r w:rsidR="00B35AA3" w:rsidRPr="00784679">
        <w:rPr>
          <w:rFonts w:hint="cs"/>
          <w:rtl/>
        </w:rPr>
        <w:t>דולר</w:t>
      </w:r>
      <w:r w:rsidR="00FB1A50" w:rsidRPr="00784679">
        <w:rPr>
          <w:rFonts w:hint="cs"/>
          <w:rtl/>
        </w:rPr>
        <w:t xml:space="preserve"> </w:t>
      </w:r>
      <w:r w:rsidR="00802327" w:rsidRPr="00784679">
        <w:rPr>
          <w:rFonts w:hint="cs"/>
          <w:rtl/>
        </w:rPr>
        <w:t>(</w:t>
      </w:r>
      <w:r w:rsidR="00AE3C96">
        <w:rPr>
          <w:rFonts w:hint="cs"/>
          <w:rtl/>
        </w:rPr>
        <w:t>2.7</w:t>
      </w:r>
      <w:r w:rsidR="00802327" w:rsidRPr="00784679">
        <w:rPr>
          <w:rFonts w:hint="cs"/>
          <w:rtl/>
        </w:rPr>
        <w:t>%</w:t>
      </w:r>
      <w:r w:rsidR="00AE3C96" w:rsidRPr="00AE3C96">
        <w:rPr>
          <w:rFonts w:hint="cs"/>
          <w:rtl/>
        </w:rPr>
        <w:t xml:space="preserve"> </w:t>
      </w:r>
      <w:r w:rsidR="00AE3C96" w:rsidRPr="00784679">
        <w:rPr>
          <w:rFonts w:hint="cs"/>
          <w:rtl/>
        </w:rPr>
        <w:t>מכלל תנועות ההשקעה</w:t>
      </w:r>
      <w:r w:rsidR="00CE0961" w:rsidRPr="00784679">
        <w:rPr>
          <w:rFonts w:hint="cs"/>
          <w:rtl/>
        </w:rPr>
        <w:t>).</w:t>
      </w:r>
    </w:p>
    <w:p w:rsidR="004F5403" w:rsidRPr="00784679" w:rsidRDefault="00521001" w:rsidP="00E6709B">
      <w:pPr>
        <w:pStyle w:val="4"/>
        <w:rPr>
          <w:rtl/>
        </w:rPr>
      </w:pPr>
      <w:r>
        <w:rPr>
          <w:rFonts w:hint="cs"/>
          <w:rtl/>
        </w:rPr>
        <w:t>תנועות</w:t>
      </w:r>
      <w:r w:rsidR="004F5403" w:rsidRPr="00841072">
        <w:rPr>
          <w:rtl/>
        </w:rPr>
        <w:t xml:space="preserve"> </w:t>
      </w:r>
      <w:r>
        <w:rPr>
          <w:rFonts w:hint="cs"/>
          <w:rtl/>
        </w:rPr>
        <w:t>ב</w:t>
      </w:r>
      <w:r w:rsidR="004F5403" w:rsidRPr="00841072">
        <w:rPr>
          <w:rtl/>
        </w:rPr>
        <w:t xml:space="preserve">השקעות ישירות </w:t>
      </w:r>
      <w:r w:rsidR="00E6709B">
        <w:rPr>
          <w:rFonts w:hint="cs"/>
          <w:rtl/>
        </w:rPr>
        <w:t>נכנסות</w:t>
      </w:r>
      <w:r w:rsidR="004F5403" w:rsidRPr="00841072">
        <w:rPr>
          <w:rtl/>
        </w:rPr>
        <w:t>, לפי עוצמה טכנולוגית</w:t>
      </w:r>
      <w:r w:rsidR="004F5403" w:rsidRPr="00841072">
        <w:rPr>
          <w:rFonts w:hint="cs"/>
          <w:rtl/>
        </w:rPr>
        <w:t xml:space="preserve"> (לוח </w:t>
      </w:r>
      <w:r w:rsidR="004F5403">
        <w:rPr>
          <w:rFonts w:hint="cs"/>
          <w:rtl/>
        </w:rPr>
        <w:t>7</w:t>
      </w:r>
      <w:r w:rsidR="004F5403" w:rsidRPr="00841072">
        <w:rPr>
          <w:rFonts w:hint="cs"/>
          <w:rtl/>
        </w:rPr>
        <w:t>)</w:t>
      </w:r>
    </w:p>
    <w:p w:rsidR="00BF1E7F" w:rsidRPr="00784679" w:rsidRDefault="00BF1E7F" w:rsidP="004F5403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בחלוקה לפי </w:t>
      </w:r>
      <w:r w:rsidR="000C4AB0" w:rsidRPr="00784679">
        <w:rPr>
          <w:rFonts w:hint="cs"/>
          <w:rtl/>
        </w:rPr>
        <w:t>עוצמה</w:t>
      </w:r>
      <w:r w:rsidR="00802327" w:rsidRPr="00784679">
        <w:rPr>
          <w:rFonts w:hint="cs"/>
          <w:rtl/>
        </w:rPr>
        <w:t xml:space="preserve"> טכנולוגית בולט חלק</w:t>
      </w:r>
      <w:r w:rsidR="004F5403">
        <w:rPr>
          <w:rFonts w:hint="cs"/>
          <w:rtl/>
        </w:rPr>
        <w:t>ם</w:t>
      </w:r>
      <w:r w:rsidRPr="00784679">
        <w:rPr>
          <w:rFonts w:hint="cs"/>
          <w:rtl/>
        </w:rPr>
        <w:t xml:space="preserve"> של</w:t>
      </w:r>
      <w:r w:rsidR="0018619E" w:rsidRPr="00784679">
        <w:rPr>
          <w:rFonts w:hint="cs"/>
          <w:rtl/>
        </w:rPr>
        <w:t xml:space="preserve"> </w:t>
      </w:r>
      <w:r w:rsidR="00C86BE2" w:rsidRPr="00784679">
        <w:rPr>
          <w:rFonts w:hint="cs"/>
          <w:rtl/>
        </w:rPr>
        <w:t xml:space="preserve">ענפי </w:t>
      </w:r>
      <w:r w:rsidR="00F37B99">
        <w:rPr>
          <w:rFonts w:hint="cs"/>
          <w:rtl/>
        </w:rPr>
        <w:t>היי טק</w:t>
      </w:r>
      <w:r w:rsidR="00C86BE2" w:rsidRPr="00784679">
        <w:rPr>
          <w:rFonts w:hint="cs"/>
          <w:rtl/>
        </w:rPr>
        <w:t xml:space="preserve"> </w:t>
      </w:r>
      <w:r w:rsidR="00F37B99">
        <w:rPr>
          <w:rFonts w:hint="cs"/>
          <w:rtl/>
        </w:rPr>
        <w:t>ב</w:t>
      </w:r>
      <w:r w:rsidR="00C86BE2" w:rsidRPr="00784679">
        <w:rPr>
          <w:rFonts w:hint="cs"/>
          <w:rtl/>
        </w:rPr>
        <w:t>שירותים (</w:t>
      </w:r>
      <w:r w:rsidR="00F37B99">
        <w:rPr>
          <w:rFonts w:hint="cs"/>
          <w:rtl/>
        </w:rPr>
        <w:t>28.3</w:t>
      </w:r>
      <w:r w:rsidR="00C86BE2" w:rsidRPr="00784679">
        <w:rPr>
          <w:rFonts w:hint="cs"/>
          <w:rtl/>
        </w:rPr>
        <w:t>%) ו</w:t>
      </w:r>
      <w:r w:rsidR="004F5403">
        <w:rPr>
          <w:rFonts w:hint="cs"/>
          <w:rtl/>
        </w:rPr>
        <w:t xml:space="preserve">חלקן של </w:t>
      </w:r>
      <w:r w:rsidR="00ED0EB1" w:rsidRPr="00784679">
        <w:rPr>
          <w:rtl/>
        </w:rPr>
        <w:t xml:space="preserve">תעשיות טכנולוגיה </w:t>
      </w:r>
      <w:r w:rsidR="00A701B7" w:rsidRPr="00784679">
        <w:rPr>
          <w:rFonts w:hint="cs"/>
          <w:rtl/>
        </w:rPr>
        <w:t>ע</w:t>
      </w:r>
      <w:r w:rsidR="00F467B4">
        <w:rPr>
          <w:rFonts w:hint="cs"/>
          <w:rtl/>
        </w:rPr>
        <w:t>י</w:t>
      </w:r>
      <w:r w:rsidR="00A701B7" w:rsidRPr="00784679">
        <w:rPr>
          <w:rFonts w:hint="cs"/>
          <w:rtl/>
        </w:rPr>
        <w:t>לית</w:t>
      </w:r>
      <w:r w:rsidR="00ED0EB1" w:rsidRPr="00784679">
        <w:rPr>
          <w:rtl/>
        </w:rPr>
        <w:t xml:space="preserve"> </w:t>
      </w:r>
      <w:r w:rsidR="00897137" w:rsidRPr="00784679">
        <w:rPr>
          <w:rFonts w:hint="cs"/>
          <w:rtl/>
        </w:rPr>
        <w:t>(</w:t>
      </w:r>
      <w:r w:rsidR="00F37B99">
        <w:rPr>
          <w:rFonts w:hint="cs"/>
          <w:rtl/>
        </w:rPr>
        <w:t>13.4</w:t>
      </w:r>
      <w:r w:rsidR="00897137" w:rsidRPr="00784679">
        <w:rPr>
          <w:rFonts w:hint="cs"/>
          <w:rtl/>
        </w:rPr>
        <w:t>%)</w:t>
      </w:r>
      <w:r w:rsidR="008E1A22" w:rsidRPr="00784679">
        <w:rPr>
          <w:rFonts w:hint="cs"/>
          <w:rtl/>
        </w:rPr>
        <w:t>.</w:t>
      </w:r>
    </w:p>
    <w:p w:rsidR="00BF1E7F" w:rsidRPr="00784679" w:rsidRDefault="00F95C95" w:rsidP="00037E94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>הערה:</w:t>
      </w:r>
      <w:r w:rsidR="00023571">
        <w:rPr>
          <w:rFonts w:hint="cs"/>
          <w:rtl/>
        </w:rPr>
        <w:t xml:space="preserve"> </w:t>
      </w:r>
      <w:r w:rsidRPr="00784679">
        <w:rPr>
          <w:rFonts w:hint="cs"/>
          <w:rtl/>
        </w:rPr>
        <w:t>עבור כ-</w:t>
      </w:r>
      <w:r w:rsidR="007D7DD8" w:rsidRPr="00784679">
        <w:rPr>
          <w:rFonts w:hint="cs"/>
          <w:rtl/>
        </w:rPr>
        <w:t>17.</w:t>
      </w:r>
      <w:r w:rsidR="00F306ED">
        <w:rPr>
          <w:rFonts w:hint="cs"/>
          <w:rtl/>
        </w:rPr>
        <w:t>3</w:t>
      </w:r>
      <w:r w:rsidR="00DE66E5" w:rsidRPr="00784679">
        <w:rPr>
          <w:rFonts w:hint="cs"/>
          <w:rtl/>
        </w:rPr>
        <w:t>% מ</w:t>
      </w:r>
      <w:r w:rsidR="00BE2E50" w:rsidRPr="00784679">
        <w:rPr>
          <w:rFonts w:hint="cs"/>
          <w:rtl/>
        </w:rPr>
        <w:t>תנועות</w:t>
      </w:r>
      <w:r w:rsidR="00DE66E5" w:rsidRPr="00784679">
        <w:rPr>
          <w:rFonts w:hint="cs"/>
          <w:rtl/>
        </w:rPr>
        <w:t xml:space="preserve"> </w:t>
      </w:r>
      <w:r w:rsidR="00341F8B">
        <w:rPr>
          <w:rFonts w:hint="cs"/>
          <w:rtl/>
        </w:rPr>
        <w:t>ב</w:t>
      </w:r>
      <w:r w:rsidR="00DE66E5" w:rsidRPr="00784679">
        <w:rPr>
          <w:rFonts w:hint="cs"/>
          <w:rtl/>
        </w:rPr>
        <w:t>השקע</w:t>
      </w:r>
      <w:r w:rsidR="00341F8B">
        <w:rPr>
          <w:rFonts w:hint="cs"/>
          <w:rtl/>
        </w:rPr>
        <w:t>ות</w:t>
      </w:r>
      <w:r w:rsidR="00DE66E5" w:rsidRPr="00784679">
        <w:rPr>
          <w:rFonts w:hint="cs"/>
          <w:rtl/>
        </w:rPr>
        <w:t xml:space="preserve"> </w:t>
      </w:r>
      <w:r w:rsidR="00341F8B" w:rsidRPr="00841072">
        <w:rPr>
          <w:rtl/>
        </w:rPr>
        <w:t>ישירות של תושבי ישראל בחו"ל</w:t>
      </w:r>
      <w:r w:rsidR="00341F8B" w:rsidRPr="00784679">
        <w:rPr>
          <w:rFonts w:hint="cs"/>
          <w:rtl/>
        </w:rPr>
        <w:t xml:space="preserve"> </w:t>
      </w:r>
      <w:r w:rsidR="00DE66E5" w:rsidRPr="00784679">
        <w:rPr>
          <w:rFonts w:hint="cs"/>
          <w:rtl/>
        </w:rPr>
        <w:t xml:space="preserve">אין נתונים לגבי ההתפלגות </w:t>
      </w:r>
      <w:r w:rsidR="00037E94">
        <w:rPr>
          <w:rFonts w:hint="cs"/>
          <w:rtl/>
        </w:rPr>
        <w:t xml:space="preserve">לפי </w:t>
      </w:r>
      <w:r w:rsidR="00DE66E5" w:rsidRPr="00784679">
        <w:rPr>
          <w:rFonts w:hint="cs"/>
          <w:rtl/>
        </w:rPr>
        <w:t>ענפי</w:t>
      </w:r>
      <w:r w:rsidR="00037E94">
        <w:rPr>
          <w:rFonts w:hint="cs"/>
          <w:rtl/>
        </w:rPr>
        <w:t>ם</w:t>
      </w:r>
      <w:r w:rsidR="00DE66E5" w:rsidRPr="00784679">
        <w:rPr>
          <w:rFonts w:hint="cs"/>
          <w:rtl/>
        </w:rPr>
        <w:t>.</w:t>
      </w:r>
    </w:p>
    <w:p w:rsidR="00802327" w:rsidRPr="00841072" w:rsidRDefault="007B0F35" w:rsidP="00986F21">
      <w:pPr>
        <w:pStyle w:val="4"/>
        <w:rPr>
          <w:rtl/>
        </w:rPr>
      </w:pPr>
      <w:r w:rsidRPr="00841072">
        <w:rPr>
          <w:rFonts w:hint="cs"/>
          <w:rtl/>
        </w:rPr>
        <w:t xml:space="preserve">תנועות </w:t>
      </w:r>
      <w:r w:rsidR="00521001">
        <w:rPr>
          <w:rFonts w:hint="cs"/>
          <w:rtl/>
        </w:rPr>
        <w:t>ב</w:t>
      </w:r>
      <w:r w:rsidR="00187E1D" w:rsidRPr="00841072">
        <w:rPr>
          <w:rFonts w:hint="cs"/>
          <w:rtl/>
        </w:rPr>
        <w:t>השקעות ישירות</w:t>
      </w:r>
      <w:r w:rsidR="00E6709B">
        <w:rPr>
          <w:rFonts w:hint="cs"/>
          <w:rtl/>
        </w:rPr>
        <w:t xml:space="preserve"> נכנסות</w:t>
      </w:r>
      <w:r w:rsidR="00187E1D" w:rsidRPr="00841072">
        <w:rPr>
          <w:rFonts w:hint="cs"/>
          <w:rtl/>
        </w:rPr>
        <w:t xml:space="preserve"> לפי מדינות</w:t>
      </w:r>
      <w:r w:rsidR="00802327" w:rsidRPr="00841072">
        <w:rPr>
          <w:rFonts w:hint="cs"/>
          <w:rtl/>
        </w:rPr>
        <w:t xml:space="preserve"> (לוח 6)</w:t>
      </w:r>
    </w:p>
    <w:p w:rsidR="00BF1E7F" w:rsidRPr="00784679" w:rsidRDefault="00C11EF0" w:rsidP="002A0ACF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בחלוקה לפי מדינות </w:t>
      </w:r>
      <w:r w:rsidR="00FE6991" w:rsidRPr="00784679">
        <w:rPr>
          <w:rFonts w:hint="cs"/>
          <w:rtl/>
        </w:rPr>
        <w:t>בשנת 201</w:t>
      </w:r>
      <w:r w:rsidR="00FE6991">
        <w:rPr>
          <w:rFonts w:hint="cs"/>
          <w:rtl/>
        </w:rPr>
        <w:t xml:space="preserve">7 </w:t>
      </w:r>
      <w:r w:rsidRPr="00784679">
        <w:rPr>
          <w:rFonts w:hint="cs"/>
          <w:rtl/>
        </w:rPr>
        <w:t>בולט</w:t>
      </w:r>
      <w:r w:rsidR="00007DAD" w:rsidRPr="00784679">
        <w:rPr>
          <w:rFonts w:hint="cs"/>
          <w:rtl/>
        </w:rPr>
        <w:t>ו</w:t>
      </w:r>
      <w:r w:rsidRPr="00784679">
        <w:rPr>
          <w:rFonts w:hint="cs"/>
          <w:rtl/>
        </w:rPr>
        <w:t>ת ה</w:t>
      </w:r>
      <w:r w:rsidR="004B1BE6" w:rsidRPr="00784679">
        <w:rPr>
          <w:rFonts w:hint="cs"/>
          <w:rtl/>
        </w:rPr>
        <w:t>השקע</w:t>
      </w:r>
      <w:r w:rsidR="00007DAD" w:rsidRPr="00784679">
        <w:rPr>
          <w:rFonts w:hint="cs"/>
          <w:rtl/>
        </w:rPr>
        <w:t>ות</w:t>
      </w:r>
      <w:r w:rsidR="004B1BE6" w:rsidRPr="00784679">
        <w:rPr>
          <w:rFonts w:hint="cs"/>
          <w:rtl/>
        </w:rPr>
        <w:t xml:space="preserve"> </w:t>
      </w:r>
      <w:r w:rsidRPr="00784679">
        <w:rPr>
          <w:rFonts w:hint="cs"/>
          <w:rtl/>
        </w:rPr>
        <w:t>ה</w:t>
      </w:r>
      <w:r w:rsidR="004B1BE6" w:rsidRPr="00784679">
        <w:rPr>
          <w:rFonts w:hint="cs"/>
          <w:rtl/>
        </w:rPr>
        <w:t>ישיר</w:t>
      </w:r>
      <w:r w:rsidR="00007DAD" w:rsidRPr="00784679">
        <w:rPr>
          <w:rFonts w:hint="cs"/>
          <w:rtl/>
        </w:rPr>
        <w:t>ות</w:t>
      </w:r>
      <w:r w:rsidR="00FE6991">
        <w:rPr>
          <w:rFonts w:hint="cs"/>
          <w:rtl/>
        </w:rPr>
        <w:t xml:space="preserve"> </w:t>
      </w:r>
      <w:r w:rsidR="00007DAD" w:rsidRPr="00784679">
        <w:rPr>
          <w:rFonts w:hint="cs"/>
          <w:rtl/>
        </w:rPr>
        <w:t>מ</w:t>
      </w:r>
      <w:r w:rsidR="004B1BE6" w:rsidRPr="00784679">
        <w:rPr>
          <w:rFonts w:hint="cs"/>
          <w:rtl/>
        </w:rPr>
        <w:t>ארה"ב</w:t>
      </w:r>
      <w:r w:rsidR="00BF1E7F" w:rsidRPr="00784679">
        <w:rPr>
          <w:rFonts w:hint="cs"/>
          <w:rtl/>
        </w:rPr>
        <w:t xml:space="preserve"> (</w:t>
      </w:r>
      <w:r w:rsidR="00FE6991">
        <w:rPr>
          <w:rFonts w:hint="cs"/>
          <w:rtl/>
        </w:rPr>
        <w:t>14.5</w:t>
      </w:r>
      <w:r w:rsidR="004A2EFB" w:rsidRPr="00784679">
        <w:rPr>
          <w:rFonts w:hint="cs"/>
          <w:rtl/>
        </w:rPr>
        <w:t xml:space="preserve">%), </w:t>
      </w:r>
      <w:r w:rsidR="00FE6991">
        <w:rPr>
          <w:rFonts w:hint="cs"/>
          <w:rtl/>
        </w:rPr>
        <w:t>יפן</w:t>
      </w:r>
      <w:r w:rsidR="004A2EFB" w:rsidRPr="00784679">
        <w:rPr>
          <w:rFonts w:hint="cs"/>
          <w:rtl/>
        </w:rPr>
        <w:t xml:space="preserve"> (</w:t>
      </w:r>
      <w:r w:rsidR="00FE6991">
        <w:rPr>
          <w:rFonts w:hint="cs"/>
          <w:rtl/>
        </w:rPr>
        <w:t>6.1</w:t>
      </w:r>
      <w:r w:rsidR="004A2EFB" w:rsidRPr="00784679">
        <w:rPr>
          <w:rFonts w:hint="cs"/>
          <w:rtl/>
        </w:rPr>
        <w:t>%)</w:t>
      </w:r>
      <w:r w:rsidR="006673CA" w:rsidRPr="00784679">
        <w:rPr>
          <w:rFonts w:hint="cs"/>
          <w:rtl/>
        </w:rPr>
        <w:t xml:space="preserve"> ו</w:t>
      </w:r>
      <w:r w:rsidR="00FE6991">
        <w:rPr>
          <w:rFonts w:hint="cs"/>
          <w:rtl/>
        </w:rPr>
        <w:t>גרנ</w:t>
      </w:r>
      <w:r w:rsidR="002A0ACF">
        <w:rPr>
          <w:rFonts w:hint="cs"/>
          <w:rtl/>
        </w:rPr>
        <w:t>ז</w:t>
      </w:r>
      <w:r w:rsidR="00FE6991">
        <w:rPr>
          <w:rFonts w:hint="cs"/>
          <w:rtl/>
        </w:rPr>
        <w:t>י</w:t>
      </w:r>
      <w:r w:rsidR="006673CA" w:rsidRPr="00784679">
        <w:rPr>
          <w:rFonts w:hint="cs"/>
          <w:rtl/>
        </w:rPr>
        <w:t xml:space="preserve"> (</w:t>
      </w:r>
      <w:r w:rsidR="00FE6991">
        <w:rPr>
          <w:rFonts w:hint="cs"/>
          <w:rtl/>
        </w:rPr>
        <w:t>4.1</w:t>
      </w:r>
      <w:r w:rsidR="006673CA" w:rsidRPr="00784679">
        <w:rPr>
          <w:rFonts w:hint="cs"/>
          <w:rtl/>
        </w:rPr>
        <w:t>%)</w:t>
      </w:r>
      <w:r w:rsidR="004A2EFB" w:rsidRPr="00784679">
        <w:rPr>
          <w:rFonts w:hint="cs"/>
          <w:rtl/>
        </w:rPr>
        <w:t>.</w:t>
      </w:r>
    </w:p>
    <w:p w:rsidR="00040C20" w:rsidRDefault="00BF12CB" w:rsidP="00A334E2">
      <w:pPr>
        <w:pStyle w:val="BodyText2"/>
        <w:spacing w:line="360" w:lineRule="auto"/>
        <w:jc w:val="left"/>
        <w:rPr>
          <w:bCs/>
          <w:szCs w:val="2"/>
          <w:u w:val="single"/>
          <w:rtl/>
        </w:rPr>
      </w:pPr>
      <w:r w:rsidRPr="00784679">
        <w:rPr>
          <w:rFonts w:hint="cs"/>
          <w:rtl/>
        </w:rPr>
        <w:t xml:space="preserve">הערה: </w:t>
      </w:r>
      <w:r w:rsidR="00FE4290" w:rsidRPr="00784679">
        <w:rPr>
          <w:rFonts w:hint="cs"/>
          <w:rtl/>
        </w:rPr>
        <w:t>עבור כ-</w:t>
      </w:r>
      <w:r w:rsidR="00FE6991">
        <w:rPr>
          <w:rFonts w:hint="cs"/>
          <w:rtl/>
        </w:rPr>
        <w:t>36.4</w:t>
      </w:r>
      <w:r w:rsidR="007A626B" w:rsidRPr="00784679">
        <w:rPr>
          <w:rFonts w:hint="cs"/>
          <w:rtl/>
        </w:rPr>
        <w:t xml:space="preserve">% </w:t>
      </w:r>
      <w:r w:rsidRPr="00784679">
        <w:rPr>
          <w:rFonts w:hint="cs"/>
          <w:rtl/>
        </w:rPr>
        <w:t>מתנועות</w:t>
      </w:r>
      <w:r w:rsidR="007A626B" w:rsidRPr="00784679">
        <w:rPr>
          <w:rFonts w:hint="cs"/>
          <w:rtl/>
        </w:rPr>
        <w:t xml:space="preserve"> ההשקעה</w:t>
      </w:r>
      <w:r w:rsidR="00525429" w:rsidRPr="00784679">
        <w:rPr>
          <w:rFonts w:hint="cs"/>
          <w:rtl/>
        </w:rPr>
        <w:t xml:space="preserve"> בשנת </w:t>
      </w:r>
      <w:r w:rsidR="00D01DBF" w:rsidRPr="00784679">
        <w:rPr>
          <w:rFonts w:hint="cs"/>
          <w:rtl/>
        </w:rPr>
        <w:t>201</w:t>
      </w:r>
      <w:r w:rsidR="00FE6991">
        <w:rPr>
          <w:rFonts w:hint="cs"/>
          <w:rtl/>
        </w:rPr>
        <w:t>7</w:t>
      </w:r>
      <w:r w:rsidR="007A626B" w:rsidRPr="00784679">
        <w:rPr>
          <w:rFonts w:hint="cs"/>
          <w:rtl/>
        </w:rPr>
        <w:t xml:space="preserve"> </w:t>
      </w:r>
      <w:r w:rsidR="00BE2E50" w:rsidRPr="00784679">
        <w:rPr>
          <w:rFonts w:hint="cs"/>
          <w:rtl/>
        </w:rPr>
        <w:t>לא מוצגים</w:t>
      </w:r>
      <w:r w:rsidR="004A400D" w:rsidRPr="00784679">
        <w:rPr>
          <w:rFonts w:hint="cs"/>
          <w:rtl/>
        </w:rPr>
        <w:t xml:space="preserve"> </w:t>
      </w:r>
      <w:r w:rsidR="00BE2E50" w:rsidRPr="00784679">
        <w:rPr>
          <w:rFonts w:hint="cs"/>
          <w:rtl/>
        </w:rPr>
        <w:t>ה</w:t>
      </w:r>
      <w:r w:rsidR="00862486">
        <w:rPr>
          <w:rFonts w:hint="cs"/>
          <w:rtl/>
        </w:rPr>
        <w:t>נתונים לגבי ההתפלגות הגאוגרפית.</w:t>
      </w:r>
    </w:p>
    <w:p w:rsidR="00862486" w:rsidRPr="00040C20" w:rsidRDefault="00862486" w:rsidP="00FE6991">
      <w:pPr>
        <w:pStyle w:val="BodyText2"/>
        <w:spacing w:line="360" w:lineRule="auto"/>
        <w:jc w:val="left"/>
        <w:rPr>
          <w:bCs/>
          <w:szCs w:val="2"/>
          <w:u w:val="single"/>
          <w:rtl/>
        </w:rPr>
      </w:pPr>
    </w:p>
    <w:p w:rsidR="004B40B3" w:rsidRDefault="004B40B3">
      <w:pPr>
        <w:bidi w:val="0"/>
        <w:rPr>
          <w:rFonts w:asciiTheme="minorBidi" w:hAnsiTheme="minorBidi" w:cstheme="minorBidi"/>
          <w:b/>
          <w:bCs/>
          <w:color w:val="943634" w:themeColor="accent2" w:themeShade="BF"/>
          <w:sz w:val="30"/>
          <w:szCs w:val="30"/>
          <w:rtl/>
        </w:rPr>
      </w:pPr>
      <w:r>
        <w:rPr>
          <w:rtl/>
        </w:rPr>
        <w:br w:type="page"/>
      </w:r>
    </w:p>
    <w:p w:rsidR="00D5670F" w:rsidRDefault="00D5670F" w:rsidP="00986F21">
      <w:pPr>
        <w:pStyle w:val="Heading2"/>
        <w:rPr>
          <w:rtl/>
        </w:rPr>
      </w:pPr>
      <w:r w:rsidRPr="00784679">
        <w:rPr>
          <w:rtl/>
        </w:rPr>
        <w:lastRenderedPageBreak/>
        <w:t>השקע</w:t>
      </w:r>
      <w:r w:rsidR="000600CF" w:rsidRPr="00784679">
        <w:rPr>
          <w:rtl/>
        </w:rPr>
        <w:t>ות</w:t>
      </w:r>
      <w:r w:rsidR="00BC2037">
        <w:rPr>
          <w:rFonts w:hint="cs"/>
          <w:rtl/>
        </w:rPr>
        <w:t xml:space="preserve"> של</w:t>
      </w:r>
      <w:r w:rsidR="000600CF" w:rsidRPr="00784679">
        <w:rPr>
          <w:rtl/>
        </w:rPr>
        <w:t xml:space="preserve"> תושבי </w:t>
      </w:r>
      <w:r w:rsidR="000600CF" w:rsidRPr="00986F21">
        <w:rPr>
          <w:rtl/>
        </w:rPr>
        <w:t>ישראל</w:t>
      </w:r>
      <w:r w:rsidR="000600CF" w:rsidRPr="00784679">
        <w:rPr>
          <w:rtl/>
        </w:rPr>
        <w:t xml:space="preserve"> בחו"ל (</w:t>
      </w:r>
      <w:r w:rsidRPr="00784679">
        <w:t>OUT</w:t>
      </w:r>
      <w:r w:rsidRPr="00784679">
        <w:rPr>
          <w:rtl/>
        </w:rPr>
        <w:t>)</w:t>
      </w:r>
    </w:p>
    <w:p w:rsidR="00780EB5" w:rsidRPr="00784679" w:rsidRDefault="00E06456" w:rsidP="00592C6A">
      <w:pPr>
        <w:pStyle w:val="3"/>
        <w:rPr>
          <w:rtl/>
        </w:rPr>
      </w:pPr>
      <w:r w:rsidRPr="00784679">
        <w:rPr>
          <w:rFonts w:hint="cs"/>
          <w:rtl/>
        </w:rPr>
        <w:t>יתרות</w:t>
      </w:r>
      <w:r w:rsidR="0095106D" w:rsidRPr="00784679">
        <w:rPr>
          <w:rFonts w:hint="cs"/>
          <w:rtl/>
        </w:rPr>
        <w:t xml:space="preserve"> </w:t>
      </w:r>
      <w:r w:rsidR="00E83408" w:rsidRPr="00784679">
        <w:rPr>
          <w:rFonts w:hint="cs"/>
          <w:rtl/>
        </w:rPr>
        <w:t>השקעות יוצאות</w:t>
      </w:r>
      <w:r w:rsidR="000600CF" w:rsidRPr="00784679">
        <w:rPr>
          <w:rFonts w:hint="cs"/>
          <w:rtl/>
        </w:rPr>
        <w:t xml:space="preserve"> (לוחות </w:t>
      </w:r>
      <w:r w:rsidR="00592C6A">
        <w:rPr>
          <w:rFonts w:hint="cs"/>
          <w:rtl/>
        </w:rPr>
        <w:t>11-8</w:t>
      </w:r>
      <w:r w:rsidR="000600CF" w:rsidRPr="00784679">
        <w:rPr>
          <w:rFonts w:hint="cs"/>
          <w:rtl/>
        </w:rPr>
        <w:t>)</w:t>
      </w:r>
    </w:p>
    <w:p w:rsidR="00710713" w:rsidRDefault="00710713" w:rsidP="00E6709B">
      <w:pPr>
        <w:pStyle w:val="BodyText2"/>
        <w:spacing w:line="360" w:lineRule="auto"/>
        <w:jc w:val="left"/>
        <w:rPr>
          <w:rtl/>
        </w:rPr>
      </w:pPr>
      <w:r w:rsidRPr="00F31833">
        <w:rPr>
          <w:rFonts w:hint="cs"/>
          <w:rtl/>
        </w:rPr>
        <w:t>יתרת ההשקע</w:t>
      </w:r>
      <w:r>
        <w:rPr>
          <w:rFonts w:hint="cs"/>
          <w:rtl/>
        </w:rPr>
        <w:t xml:space="preserve">ות הישירות </w:t>
      </w:r>
      <w:r w:rsidR="00E6709B">
        <w:rPr>
          <w:rFonts w:hint="cs"/>
          <w:rtl/>
        </w:rPr>
        <w:t xml:space="preserve">היוצאות </w:t>
      </w:r>
      <w:r w:rsidRPr="00F31833">
        <w:rPr>
          <w:rFonts w:hint="cs"/>
          <w:rtl/>
        </w:rPr>
        <w:t>בסוף שנת 201</w:t>
      </w:r>
      <w:r>
        <w:rPr>
          <w:rFonts w:hint="cs"/>
          <w:rtl/>
        </w:rPr>
        <w:t>7</w:t>
      </w:r>
      <w:r w:rsidRPr="00F31833">
        <w:rPr>
          <w:rFonts w:hint="cs"/>
          <w:rtl/>
        </w:rPr>
        <w:t xml:space="preserve"> הסתכמה ב-</w:t>
      </w:r>
      <w:r>
        <w:rPr>
          <w:rFonts w:hint="cs"/>
          <w:rtl/>
        </w:rPr>
        <w:t>100.3</w:t>
      </w:r>
      <w:r w:rsidRPr="00F31833">
        <w:rPr>
          <w:rFonts w:hint="cs"/>
          <w:rtl/>
        </w:rPr>
        <w:t xml:space="preserve"> מיליארד דולר</w:t>
      </w:r>
      <w:r>
        <w:rPr>
          <w:rFonts w:hint="cs"/>
          <w:rtl/>
        </w:rPr>
        <w:t>,</w:t>
      </w:r>
      <w:r w:rsidRPr="00F31833">
        <w:rPr>
          <w:rFonts w:hint="cs"/>
          <w:rtl/>
        </w:rPr>
        <w:t xml:space="preserve"> </w:t>
      </w:r>
      <w:r>
        <w:rPr>
          <w:rFonts w:hint="cs"/>
          <w:rtl/>
        </w:rPr>
        <w:t>גידול של 5.9</w:t>
      </w:r>
      <w:r w:rsidRPr="00F31833">
        <w:rPr>
          <w:rFonts w:hint="cs"/>
          <w:rtl/>
        </w:rPr>
        <w:t>% בהשוואה לשנת 201</w:t>
      </w:r>
      <w:r>
        <w:rPr>
          <w:rFonts w:hint="cs"/>
          <w:rtl/>
        </w:rPr>
        <w:t>6</w:t>
      </w:r>
      <w:r w:rsidRPr="00F31833">
        <w:rPr>
          <w:rFonts w:hint="cs"/>
          <w:rtl/>
        </w:rPr>
        <w:t xml:space="preserve"> (</w:t>
      </w:r>
      <w:r>
        <w:rPr>
          <w:rFonts w:hint="cs"/>
          <w:rtl/>
        </w:rPr>
        <w:t>94.6</w:t>
      </w:r>
      <w:r w:rsidRPr="00F31833">
        <w:rPr>
          <w:rFonts w:hint="cs"/>
          <w:rtl/>
        </w:rPr>
        <w:t xml:space="preserve"> מיליארד דולר) ו</w:t>
      </w:r>
      <w:r>
        <w:rPr>
          <w:rFonts w:hint="cs"/>
          <w:rtl/>
        </w:rPr>
        <w:t>של</w:t>
      </w:r>
      <w:r w:rsidRPr="00F31833">
        <w:rPr>
          <w:rFonts w:hint="cs"/>
          <w:rtl/>
        </w:rPr>
        <w:t xml:space="preserve"> </w:t>
      </w:r>
      <w:r>
        <w:rPr>
          <w:rFonts w:hint="cs"/>
          <w:rtl/>
        </w:rPr>
        <w:t>18.4</w:t>
      </w:r>
      <w:r w:rsidRPr="00F31833">
        <w:rPr>
          <w:rFonts w:hint="cs"/>
          <w:rtl/>
        </w:rPr>
        <w:t>% בהשוואה לשנת 201</w:t>
      </w:r>
      <w:r>
        <w:rPr>
          <w:rFonts w:hint="cs"/>
          <w:rtl/>
        </w:rPr>
        <w:t>5</w:t>
      </w:r>
      <w:r w:rsidRPr="00F31833">
        <w:rPr>
          <w:rFonts w:hint="cs"/>
          <w:rtl/>
        </w:rPr>
        <w:t xml:space="preserve"> (</w:t>
      </w:r>
      <w:r>
        <w:rPr>
          <w:rFonts w:hint="cs"/>
          <w:rtl/>
        </w:rPr>
        <w:t>84.7</w:t>
      </w:r>
      <w:r w:rsidRPr="00F31833">
        <w:rPr>
          <w:rFonts w:hint="cs"/>
          <w:rtl/>
        </w:rPr>
        <w:t xml:space="preserve"> מיליארד דולר).</w:t>
      </w:r>
    </w:p>
    <w:p w:rsidR="00F45EA5" w:rsidRPr="00784679" w:rsidRDefault="00FD096A" w:rsidP="00C12FAA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>השקעות אלו כוללות השקעות של תושבי ישראל</w:t>
      </w:r>
      <w:r w:rsidR="00B8452F" w:rsidRPr="00784679">
        <w:rPr>
          <w:rFonts w:hint="cs"/>
          <w:rtl/>
        </w:rPr>
        <w:t xml:space="preserve"> בחו"ל</w:t>
      </w:r>
      <w:r w:rsidRPr="00784679">
        <w:rPr>
          <w:rFonts w:hint="cs"/>
          <w:rtl/>
        </w:rPr>
        <w:t xml:space="preserve"> בשיעור </w:t>
      </w:r>
      <w:r w:rsidR="003D0BE8">
        <w:rPr>
          <w:rFonts w:hint="cs"/>
          <w:rtl/>
        </w:rPr>
        <w:t>הגבוה מ-</w:t>
      </w:r>
      <w:r w:rsidRPr="00784679">
        <w:rPr>
          <w:rFonts w:hint="cs"/>
          <w:rtl/>
        </w:rPr>
        <w:t xml:space="preserve">10% מהון המניות של חברות בחו"ל. כמו כן, ההשקעות הישירות </w:t>
      </w:r>
      <w:r w:rsidR="00C12FAA" w:rsidRPr="00784679">
        <w:rPr>
          <w:rFonts w:hint="cs"/>
          <w:rtl/>
        </w:rPr>
        <w:t xml:space="preserve">כוללות </w:t>
      </w:r>
      <w:r w:rsidRPr="00784679">
        <w:rPr>
          <w:rFonts w:hint="cs"/>
          <w:rtl/>
        </w:rPr>
        <w:t>רווחים שנצברו בחברות המוחזקות בחו"ל והלוואות בעלים לחברות הללו.</w:t>
      </w:r>
    </w:p>
    <w:p w:rsidR="003B3AA9" w:rsidRDefault="00222B1B" w:rsidP="00281655">
      <w:pPr>
        <w:pStyle w:val="4"/>
        <w:spacing w:before="120"/>
        <w:rPr>
          <w:noProof/>
          <w:rtl/>
        </w:rPr>
      </w:pPr>
      <w:r w:rsidRPr="00841072">
        <w:rPr>
          <w:rFonts w:hint="cs"/>
          <w:rtl/>
        </w:rPr>
        <w:t xml:space="preserve">יתרות </w:t>
      </w:r>
      <w:r w:rsidR="008B0AAF" w:rsidRPr="00841072">
        <w:rPr>
          <w:rFonts w:hint="cs"/>
          <w:rtl/>
        </w:rPr>
        <w:t>השקעות ישירות</w:t>
      </w:r>
      <w:r w:rsidR="00E6709B">
        <w:rPr>
          <w:rFonts w:hint="cs"/>
          <w:rtl/>
        </w:rPr>
        <w:t xml:space="preserve"> יוצאות </w:t>
      </w:r>
      <w:r w:rsidR="008B0AAF" w:rsidRPr="00841072">
        <w:rPr>
          <w:rFonts w:hint="cs"/>
          <w:rtl/>
        </w:rPr>
        <w:t xml:space="preserve"> לפי ענף כלכלי </w:t>
      </w:r>
      <w:r w:rsidR="00A5444C" w:rsidRPr="00841072">
        <w:rPr>
          <w:rFonts w:hint="cs"/>
          <w:rtl/>
        </w:rPr>
        <w:t xml:space="preserve">(לוחות </w:t>
      </w:r>
      <w:r w:rsidR="00B91629" w:rsidRPr="00841072">
        <w:rPr>
          <w:rFonts w:hint="cs"/>
          <w:rtl/>
        </w:rPr>
        <w:t>8</w:t>
      </w:r>
      <w:r w:rsidR="00A5444C" w:rsidRPr="00841072">
        <w:rPr>
          <w:rFonts w:hint="cs"/>
          <w:rtl/>
        </w:rPr>
        <w:t xml:space="preserve"> ו-</w:t>
      </w:r>
      <w:r w:rsidR="00B91629" w:rsidRPr="00841072">
        <w:rPr>
          <w:rFonts w:hint="cs"/>
          <w:rtl/>
        </w:rPr>
        <w:t>10</w:t>
      </w:r>
      <w:r w:rsidR="00A5444C" w:rsidRPr="00841072">
        <w:rPr>
          <w:rFonts w:hint="cs"/>
          <w:rtl/>
        </w:rPr>
        <w:t>)</w:t>
      </w:r>
    </w:p>
    <w:p w:rsidR="00236255" w:rsidRPr="00841072" w:rsidRDefault="00236255" w:rsidP="00281655">
      <w:pPr>
        <w:pStyle w:val="4"/>
        <w:spacing w:before="120"/>
        <w:jc w:val="center"/>
        <w:rPr>
          <w:noProof/>
          <w:rtl/>
        </w:rPr>
      </w:pPr>
      <w:r>
        <w:rPr>
          <w:rFonts w:cs="Arial" w:hint="cs"/>
          <w:noProof/>
          <w:rtl/>
        </w:rPr>
        <w:t xml:space="preserve">תרשים 5 - </w:t>
      </w:r>
      <w:r w:rsidRPr="00236255">
        <w:rPr>
          <w:rFonts w:cs="Arial"/>
          <w:noProof/>
          <w:rtl/>
        </w:rPr>
        <w:t>יתרות השקעות ישירות של תושבי ישראל בחו"</w:t>
      </w:r>
      <w:r w:rsidRPr="00A435B5">
        <w:rPr>
          <w:rFonts w:cs="Arial"/>
          <w:noProof/>
          <w:sz w:val="24"/>
          <w:rtl/>
        </w:rPr>
        <w:t>ל (</w:t>
      </w:r>
      <w:r w:rsidRPr="00A435B5">
        <w:rPr>
          <w:noProof/>
          <w:sz w:val="24"/>
        </w:rPr>
        <w:t>OUT</w:t>
      </w:r>
      <w:r w:rsidRPr="00A435B5">
        <w:rPr>
          <w:rFonts w:cs="Arial"/>
          <w:noProof/>
          <w:sz w:val="24"/>
          <w:rtl/>
        </w:rPr>
        <w:t xml:space="preserve">) </w:t>
      </w:r>
      <w:r w:rsidRPr="00A435B5">
        <w:rPr>
          <w:rFonts w:cs="Arial" w:hint="cs"/>
          <w:noProof/>
          <w:sz w:val="24"/>
          <w:rtl/>
        </w:rPr>
        <w:t>לפי</w:t>
      </w:r>
      <w:r>
        <w:rPr>
          <w:rFonts w:cs="Arial" w:hint="cs"/>
          <w:noProof/>
          <w:rtl/>
        </w:rPr>
        <w:t xml:space="preserve"> ענפי כלכלה נבחרים</w:t>
      </w:r>
    </w:p>
    <w:p w:rsidR="00184A88" w:rsidRPr="00056B4D" w:rsidRDefault="00BA4790" w:rsidP="00064E74">
      <w:pPr>
        <w:pStyle w:val="BodyText2"/>
        <w:jc w:val="center"/>
        <w:rPr>
          <w:sz w:val="22"/>
          <w:szCs w:val="22"/>
          <w:rtl/>
        </w:rPr>
      </w:pPr>
      <w:r>
        <w:rPr>
          <w:noProof/>
          <w:sz w:val="22"/>
          <w:szCs w:val="22"/>
        </w:rPr>
        <w:drawing>
          <wp:inline distT="0" distB="0" distL="0" distR="0" wp14:anchorId="13119AA3" wp14:editId="25662BCB">
            <wp:extent cx="6124755" cy="3590565"/>
            <wp:effectExtent l="0" t="0" r="0" b="0"/>
            <wp:docPr id="26" name="Picture 26" descr="תרשים 5 - יתרות השקעות ישירות של תושבי ישראל בחו&quot;ל (OUT) לפי ענפי כלכלה נבחרים" title="תרשים 5 - יתרות השקעות ישירות של תושבי ישראל בחו&quot;ל (OUT) לפי ענפי כלכלה נבח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61" cy="3592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35D" w:rsidRDefault="00801E42" w:rsidP="009C7821">
      <w:pPr>
        <w:pStyle w:val="BodyText2"/>
        <w:spacing w:before="240" w:line="360" w:lineRule="auto"/>
        <w:jc w:val="left"/>
        <w:rPr>
          <w:rtl/>
        </w:rPr>
      </w:pPr>
      <w:r w:rsidRPr="004B40B3">
        <w:rPr>
          <w:rFonts w:hint="cs"/>
          <w:spacing w:val="-2"/>
          <w:rtl/>
        </w:rPr>
        <w:t>בסוף שנת 2017 65.5</w:t>
      </w:r>
      <w:r w:rsidR="00475397" w:rsidRPr="004B40B3">
        <w:rPr>
          <w:rFonts w:hint="cs"/>
          <w:spacing w:val="-2"/>
          <w:rtl/>
        </w:rPr>
        <w:t>%</w:t>
      </w:r>
      <w:r w:rsidR="00AE5B85" w:rsidRPr="004B40B3">
        <w:rPr>
          <w:rFonts w:hint="cs"/>
          <w:spacing w:val="-2"/>
          <w:rtl/>
        </w:rPr>
        <w:t xml:space="preserve"> </w:t>
      </w:r>
      <w:r w:rsidR="00BA60E9" w:rsidRPr="004B40B3">
        <w:rPr>
          <w:rFonts w:hint="cs"/>
          <w:spacing w:val="-2"/>
          <w:rtl/>
        </w:rPr>
        <w:t xml:space="preserve">מיתרת ההשקעות היוצאות </w:t>
      </w:r>
      <w:r w:rsidRPr="004B40B3">
        <w:rPr>
          <w:rFonts w:hint="cs"/>
          <w:spacing w:val="-2"/>
          <w:rtl/>
        </w:rPr>
        <w:t xml:space="preserve">(65.7 מיליארד דולר) </w:t>
      </w:r>
      <w:r w:rsidR="004B40B3" w:rsidRPr="004B40B3">
        <w:rPr>
          <w:rFonts w:hint="cs"/>
          <w:spacing w:val="-2"/>
          <w:rtl/>
        </w:rPr>
        <w:t>היו של חברות מ</w:t>
      </w:r>
      <w:r w:rsidR="00475397" w:rsidRPr="004B40B3">
        <w:rPr>
          <w:rFonts w:hint="cs"/>
          <w:spacing w:val="-2"/>
          <w:rtl/>
        </w:rPr>
        <w:t>ענפי התעשיי</w:t>
      </w:r>
      <w:r w:rsidR="00475397" w:rsidRPr="004B40B3">
        <w:rPr>
          <w:rFonts w:hint="eastAsia"/>
          <w:spacing w:val="-2"/>
          <w:rtl/>
        </w:rPr>
        <w:t>ה</w:t>
      </w:r>
      <w:r w:rsidR="00AE5B85" w:rsidRPr="004B40B3">
        <w:rPr>
          <w:rFonts w:hint="cs"/>
          <w:spacing w:val="-2"/>
          <w:rtl/>
        </w:rPr>
        <w:t xml:space="preserve"> ו</w:t>
      </w:r>
      <w:r w:rsidR="00CE2B88" w:rsidRPr="004B40B3">
        <w:rPr>
          <w:rFonts w:hint="cs"/>
          <w:spacing w:val="-2"/>
          <w:rtl/>
        </w:rPr>
        <w:t>-</w:t>
      </w:r>
      <w:r>
        <w:rPr>
          <w:rFonts w:hint="cs"/>
          <w:rtl/>
        </w:rPr>
        <w:t>24.6</w:t>
      </w:r>
      <w:r w:rsidR="00475397" w:rsidRPr="00784679">
        <w:rPr>
          <w:rFonts w:hint="cs"/>
          <w:rtl/>
        </w:rPr>
        <w:t>%</w:t>
      </w:r>
      <w:r w:rsidR="003D0BE8">
        <w:rPr>
          <w:rFonts w:hint="cs"/>
          <w:rtl/>
        </w:rPr>
        <w:t xml:space="preserve"> </w:t>
      </w:r>
      <w:r w:rsidRPr="00784679">
        <w:rPr>
          <w:rFonts w:hint="cs"/>
          <w:rtl/>
        </w:rPr>
        <w:t>(</w:t>
      </w:r>
      <w:r>
        <w:rPr>
          <w:rFonts w:hint="cs"/>
          <w:rtl/>
        </w:rPr>
        <w:t>24.7</w:t>
      </w:r>
      <w:r w:rsidRPr="00784679">
        <w:rPr>
          <w:rFonts w:hint="cs"/>
          <w:rtl/>
        </w:rPr>
        <w:t xml:space="preserve"> מיליארד דולר)</w:t>
      </w:r>
      <w:r w:rsidR="003D0BE8">
        <w:rPr>
          <w:rFonts w:hint="cs"/>
          <w:rtl/>
        </w:rPr>
        <w:t xml:space="preserve"> </w:t>
      </w:r>
      <w:r w:rsidR="009C7821">
        <w:rPr>
          <w:rFonts w:hint="cs"/>
          <w:rtl/>
        </w:rPr>
        <w:t>של חברות מ</w:t>
      </w:r>
      <w:r w:rsidR="00475397" w:rsidRPr="00784679">
        <w:rPr>
          <w:rFonts w:hint="cs"/>
          <w:rtl/>
        </w:rPr>
        <w:t>ענפי המסחר והשירותי</w:t>
      </w:r>
      <w:r w:rsidR="00475397" w:rsidRPr="00784679">
        <w:rPr>
          <w:rFonts w:hint="eastAsia"/>
          <w:rtl/>
        </w:rPr>
        <w:t>ם</w:t>
      </w:r>
      <w:r w:rsidR="00AC2BC2" w:rsidRPr="00784679">
        <w:rPr>
          <w:rFonts w:hint="cs"/>
          <w:rtl/>
        </w:rPr>
        <w:t>.</w:t>
      </w:r>
    </w:p>
    <w:p w:rsidR="00775ABE" w:rsidRPr="00784679" w:rsidRDefault="00063712" w:rsidP="00F54EE0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יתרות ההשקעות הבולטות היו </w:t>
      </w:r>
      <w:r w:rsidR="00F54EE0">
        <w:rPr>
          <w:rFonts w:hint="cs"/>
          <w:rtl/>
        </w:rPr>
        <w:t>של חברות מ</w:t>
      </w:r>
      <w:r w:rsidRPr="00784679">
        <w:rPr>
          <w:rFonts w:hint="cs"/>
          <w:rtl/>
        </w:rPr>
        <w:t>ענף</w:t>
      </w:r>
      <w:r w:rsidR="0036144E" w:rsidRPr="00784679">
        <w:rPr>
          <w:rFonts w:hint="cs"/>
          <w:rtl/>
        </w:rPr>
        <w:t xml:space="preserve"> </w:t>
      </w:r>
      <w:r w:rsidR="0036144E" w:rsidRPr="00784679">
        <w:rPr>
          <w:rtl/>
        </w:rPr>
        <w:t>ייצור מוצרי נפט, כימיקלים ותרופות</w:t>
      </w:r>
      <w:r w:rsidR="0036144E" w:rsidRPr="00784679">
        <w:rPr>
          <w:rFonts w:hint="cs"/>
          <w:rtl/>
        </w:rPr>
        <w:t xml:space="preserve"> (</w:t>
      </w:r>
      <w:r w:rsidR="00DD3DD2" w:rsidRPr="00784679">
        <w:rPr>
          <w:rFonts w:hint="cs"/>
          <w:rtl/>
        </w:rPr>
        <w:t>5</w:t>
      </w:r>
      <w:r w:rsidR="00243766">
        <w:rPr>
          <w:rFonts w:hint="cs"/>
          <w:rtl/>
        </w:rPr>
        <w:t>5</w:t>
      </w:r>
      <w:r w:rsidR="00DD3DD2" w:rsidRPr="00784679">
        <w:rPr>
          <w:rFonts w:hint="cs"/>
          <w:rtl/>
        </w:rPr>
        <w:t>.5</w:t>
      </w:r>
      <w:r w:rsidR="0036144E" w:rsidRPr="00784679">
        <w:rPr>
          <w:rFonts w:hint="cs"/>
          <w:rtl/>
        </w:rPr>
        <w:t>%)</w:t>
      </w:r>
      <w:r w:rsidR="00023571">
        <w:rPr>
          <w:rFonts w:hint="cs"/>
          <w:rtl/>
        </w:rPr>
        <w:t xml:space="preserve"> </w:t>
      </w:r>
      <w:r w:rsidR="0036144E" w:rsidRPr="00784679">
        <w:rPr>
          <w:rFonts w:hint="cs"/>
          <w:rtl/>
        </w:rPr>
        <w:t>ו</w:t>
      </w:r>
      <w:r w:rsidR="00F54EE0">
        <w:rPr>
          <w:rFonts w:hint="cs"/>
          <w:rtl/>
        </w:rPr>
        <w:t xml:space="preserve">של חברות מענף </w:t>
      </w:r>
      <w:r w:rsidR="00843A19" w:rsidRPr="00784679">
        <w:rPr>
          <w:rFonts w:hint="cs"/>
          <w:rtl/>
        </w:rPr>
        <w:t>שירותים</w:t>
      </w:r>
      <w:r w:rsidR="00775ABE" w:rsidRPr="00784679">
        <w:rPr>
          <w:rFonts w:hint="cs"/>
          <w:rtl/>
        </w:rPr>
        <w:t xml:space="preserve"> פיננסיים</w:t>
      </w:r>
      <w:r w:rsidR="00984253" w:rsidRPr="00784679">
        <w:rPr>
          <w:rFonts w:hint="cs"/>
          <w:rtl/>
        </w:rPr>
        <w:t xml:space="preserve"> פרט לביטוח ולקרנות פנסיה</w:t>
      </w:r>
      <w:r w:rsidR="00775ABE" w:rsidRPr="00784679">
        <w:rPr>
          <w:rFonts w:hint="cs"/>
          <w:rtl/>
        </w:rPr>
        <w:t xml:space="preserve"> (</w:t>
      </w:r>
      <w:r w:rsidR="00243766">
        <w:rPr>
          <w:rFonts w:hint="cs"/>
          <w:rtl/>
        </w:rPr>
        <w:t>13.2</w:t>
      </w:r>
      <w:r w:rsidR="00775ABE" w:rsidRPr="00784679">
        <w:rPr>
          <w:rFonts w:hint="cs"/>
          <w:rtl/>
        </w:rPr>
        <w:t>%).</w:t>
      </w:r>
      <w:r w:rsidR="00984253" w:rsidRPr="00784679">
        <w:rPr>
          <w:rFonts w:hint="cs"/>
          <w:rtl/>
        </w:rPr>
        <w:t xml:space="preserve"> </w:t>
      </w:r>
    </w:p>
    <w:p w:rsidR="00E03663" w:rsidRDefault="00E00F8D" w:rsidP="00F54EE0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>יש לציין</w:t>
      </w:r>
      <w:r w:rsidR="006F71C7">
        <w:rPr>
          <w:rFonts w:hint="cs"/>
          <w:rtl/>
        </w:rPr>
        <w:t>,</w:t>
      </w:r>
      <w:r w:rsidRPr="00784679">
        <w:rPr>
          <w:rFonts w:hint="cs"/>
          <w:rtl/>
        </w:rPr>
        <w:t xml:space="preserve"> כי לגבי </w:t>
      </w:r>
      <w:r w:rsidR="00243766">
        <w:rPr>
          <w:rFonts w:hint="cs"/>
          <w:rtl/>
        </w:rPr>
        <w:t>8.8</w:t>
      </w:r>
      <w:r w:rsidRPr="00784679">
        <w:rPr>
          <w:rFonts w:hint="cs"/>
          <w:rtl/>
        </w:rPr>
        <w:t>% מיתרות ההשקע</w:t>
      </w:r>
      <w:r w:rsidR="00D5180B" w:rsidRPr="00784679">
        <w:rPr>
          <w:rFonts w:hint="cs"/>
          <w:rtl/>
        </w:rPr>
        <w:t>ות</w:t>
      </w:r>
      <w:r w:rsidRPr="00784679">
        <w:rPr>
          <w:rFonts w:hint="cs"/>
          <w:rtl/>
        </w:rPr>
        <w:t xml:space="preserve"> היוצאות אין נתונים על ההתפלגות </w:t>
      </w:r>
      <w:r w:rsidR="003D0BE8">
        <w:rPr>
          <w:rFonts w:hint="cs"/>
          <w:rtl/>
        </w:rPr>
        <w:t xml:space="preserve">לפי </w:t>
      </w:r>
      <w:r w:rsidRPr="00784679">
        <w:rPr>
          <w:rFonts w:hint="cs"/>
          <w:rtl/>
        </w:rPr>
        <w:t>ענפי</w:t>
      </w:r>
      <w:r w:rsidR="00F54EE0">
        <w:rPr>
          <w:rFonts w:hint="cs"/>
          <w:rtl/>
        </w:rPr>
        <w:t xml:space="preserve"> הפעילות של המשקיעים</w:t>
      </w:r>
      <w:r w:rsidRPr="00784679">
        <w:rPr>
          <w:rFonts w:hint="cs"/>
          <w:rtl/>
        </w:rPr>
        <w:t>.</w:t>
      </w:r>
    </w:p>
    <w:p w:rsidR="00E03663" w:rsidRDefault="00E03663" w:rsidP="00E6709B">
      <w:pPr>
        <w:pStyle w:val="4"/>
        <w:spacing w:before="120"/>
      </w:pPr>
      <w:r w:rsidRPr="00841072">
        <w:rPr>
          <w:rtl/>
        </w:rPr>
        <w:t xml:space="preserve">יתרות השקעות ישירות </w:t>
      </w:r>
      <w:r w:rsidR="00E6709B">
        <w:rPr>
          <w:rFonts w:hint="cs"/>
          <w:rtl/>
        </w:rPr>
        <w:t>יוצאות</w:t>
      </w:r>
      <w:r w:rsidRPr="00841072">
        <w:rPr>
          <w:rtl/>
        </w:rPr>
        <w:t>, לפי עוצמה טכנולוגית</w:t>
      </w:r>
      <w:r w:rsidRPr="00841072">
        <w:rPr>
          <w:rFonts w:hint="cs"/>
          <w:rtl/>
        </w:rPr>
        <w:t xml:space="preserve"> (לוח 10) </w:t>
      </w:r>
    </w:p>
    <w:p w:rsidR="00E03663" w:rsidRPr="0023578F" w:rsidRDefault="00E03663" w:rsidP="00081945">
      <w:pPr>
        <w:pStyle w:val="BodyText2"/>
        <w:spacing w:line="360" w:lineRule="auto"/>
        <w:jc w:val="left"/>
        <w:rPr>
          <w:rtl/>
        </w:rPr>
      </w:pPr>
      <w:r w:rsidRPr="00841072">
        <w:rPr>
          <w:rFonts w:hint="cs"/>
          <w:rtl/>
        </w:rPr>
        <w:t xml:space="preserve">בחלוקה </w:t>
      </w:r>
      <w:r w:rsidR="00F54EE0">
        <w:rPr>
          <w:rFonts w:hint="cs"/>
          <w:rtl/>
        </w:rPr>
        <w:t xml:space="preserve">של המשקיעים הישראליים </w:t>
      </w:r>
      <w:r w:rsidRPr="00841072">
        <w:rPr>
          <w:rFonts w:hint="cs"/>
          <w:rtl/>
        </w:rPr>
        <w:t>לפי עוצמה טכנולוגית בולט בשנת 2017 חלק</w:t>
      </w:r>
      <w:r w:rsidR="00081945">
        <w:rPr>
          <w:rFonts w:hint="cs"/>
          <w:rtl/>
        </w:rPr>
        <w:t>ן</w:t>
      </w:r>
      <w:r w:rsidRPr="00841072">
        <w:rPr>
          <w:rFonts w:hint="cs"/>
          <w:rtl/>
        </w:rPr>
        <w:t xml:space="preserve"> של</w:t>
      </w:r>
      <w:r w:rsidR="00081945">
        <w:rPr>
          <w:rFonts w:hint="cs"/>
          <w:rtl/>
        </w:rPr>
        <w:t xml:space="preserve"> חברות ישראליות מ</w:t>
      </w:r>
      <w:r w:rsidRPr="00841072">
        <w:rPr>
          <w:rFonts w:hint="cs"/>
          <w:rtl/>
        </w:rPr>
        <w:t xml:space="preserve">תעשיית </w:t>
      </w:r>
      <w:r w:rsidR="00081945">
        <w:rPr>
          <w:rFonts w:hint="cs"/>
          <w:rtl/>
        </w:rPr>
        <w:t>ה</w:t>
      </w:r>
      <w:r w:rsidRPr="00841072">
        <w:rPr>
          <w:rFonts w:hint="cs"/>
          <w:rtl/>
        </w:rPr>
        <w:t xml:space="preserve">טכנולוגיה </w:t>
      </w:r>
      <w:r w:rsidR="00081945">
        <w:rPr>
          <w:rFonts w:hint="cs"/>
          <w:rtl/>
        </w:rPr>
        <w:t>ה</w:t>
      </w:r>
      <w:r w:rsidRPr="00841072">
        <w:rPr>
          <w:rFonts w:hint="cs"/>
          <w:rtl/>
        </w:rPr>
        <w:t xml:space="preserve">עילית </w:t>
      </w:r>
      <w:r w:rsidR="007E6054">
        <w:rPr>
          <w:rFonts w:hint="cs"/>
          <w:rtl/>
        </w:rPr>
        <w:t>שהסתכם ב-53.4 מיליארד דולר ו</w:t>
      </w:r>
      <w:r>
        <w:rPr>
          <w:rFonts w:hint="cs"/>
          <w:rtl/>
        </w:rPr>
        <w:t>ה</w:t>
      </w:r>
      <w:r w:rsidR="007E6054">
        <w:rPr>
          <w:rFonts w:hint="cs"/>
          <w:rtl/>
        </w:rPr>
        <w:t>י</w:t>
      </w:r>
      <w:r>
        <w:rPr>
          <w:rFonts w:hint="cs"/>
          <w:rtl/>
        </w:rPr>
        <w:t xml:space="preserve">ה </w:t>
      </w:r>
      <w:r w:rsidRPr="00841072">
        <w:rPr>
          <w:rFonts w:hint="cs"/>
          <w:rtl/>
        </w:rPr>
        <w:t>53.3% מסך היתרה</w:t>
      </w:r>
      <w:r>
        <w:rPr>
          <w:rFonts w:hint="cs"/>
          <w:rtl/>
        </w:rPr>
        <w:t>.</w:t>
      </w:r>
    </w:p>
    <w:p w:rsidR="00B44F94" w:rsidRDefault="00B44F94">
      <w:pPr>
        <w:bidi w:val="0"/>
        <w:rPr>
          <w:rFonts w:asciiTheme="minorBidi" w:hAnsiTheme="minorBidi" w:cstheme="minorBidi"/>
          <w:b/>
          <w:bCs/>
          <w:color w:val="000000"/>
          <w:sz w:val="30"/>
          <w:rtl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tl/>
        </w:rPr>
        <w:br w:type="page"/>
      </w:r>
    </w:p>
    <w:p w:rsidR="00A50B96" w:rsidRDefault="00222B1B" w:rsidP="0023578F">
      <w:pPr>
        <w:pStyle w:val="4"/>
        <w:rPr>
          <w:sz w:val="22"/>
          <w:szCs w:val="22"/>
          <w:rtl/>
        </w:rPr>
      </w:pPr>
      <w:r w:rsidRPr="00841072">
        <w:rPr>
          <w:rFonts w:hint="cs"/>
          <w:rtl/>
        </w:rPr>
        <w:lastRenderedPageBreak/>
        <w:t xml:space="preserve">יתרות </w:t>
      </w:r>
      <w:r w:rsidR="001A5439" w:rsidRPr="00841072">
        <w:rPr>
          <w:rFonts w:hint="cs"/>
          <w:rtl/>
        </w:rPr>
        <w:t>השקעות ישירות</w:t>
      </w:r>
      <w:r w:rsidR="00EF2BD8">
        <w:rPr>
          <w:rFonts w:hint="cs"/>
          <w:rtl/>
        </w:rPr>
        <w:t xml:space="preserve"> יוצאות</w:t>
      </w:r>
      <w:r w:rsidR="001A5439" w:rsidRPr="00841072">
        <w:rPr>
          <w:rFonts w:hint="cs"/>
          <w:rtl/>
        </w:rPr>
        <w:t xml:space="preserve"> לפי מדינות </w:t>
      </w:r>
      <w:r w:rsidR="00A5444C" w:rsidRPr="00841072">
        <w:rPr>
          <w:rFonts w:hint="cs"/>
          <w:rtl/>
        </w:rPr>
        <w:t xml:space="preserve">(לוח </w:t>
      </w:r>
      <w:r w:rsidR="00B91629" w:rsidRPr="00841072">
        <w:rPr>
          <w:rFonts w:hint="cs"/>
          <w:rtl/>
        </w:rPr>
        <w:t>9</w:t>
      </w:r>
      <w:r w:rsidR="00A5444C" w:rsidRPr="00841072">
        <w:rPr>
          <w:rFonts w:hint="cs"/>
          <w:rtl/>
        </w:rPr>
        <w:t>)</w:t>
      </w:r>
    </w:p>
    <w:p w:rsidR="00B44F94" w:rsidRPr="00B44F94" w:rsidRDefault="00B44F94" w:rsidP="00066303">
      <w:pPr>
        <w:pStyle w:val="BodyText2"/>
        <w:spacing w:before="120" w:line="360" w:lineRule="auto"/>
        <w:jc w:val="center"/>
        <w:rPr>
          <w:b/>
          <w:bCs/>
          <w:rtl/>
        </w:rPr>
      </w:pPr>
      <w:r w:rsidRPr="00B44F94">
        <w:rPr>
          <w:rFonts w:hint="cs"/>
          <w:b/>
          <w:bCs/>
          <w:rtl/>
        </w:rPr>
        <w:t xml:space="preserve">תרשים 6 </w:t>
      </w:r>
      <w:r w:rsidR="00055F5A">
        <w:rPr>
          <w:b/>
          <w:bCs/>
          <w:rtl/>
        </w:rPr>
        <w:t>-</w:t>
      </w:r>
      <w:r w:rsidRPr="00B44F94">
        <w:rPr>
          <w:rFonts w:hint="cs"/>
          <w:b/>
          <w:bCs/>
          <w:rtl/>
        </w:rPr>
        <w:t xml:space="preserve"> יתרות השקעות ישירות של תושבי ישראל בחו"ל (</w:t>
      </w:r>
      <w:r w:rsidRPr="00B44F94">
        <w:rPr>
          <w:b/>
          <w:bCs/>
        </w:rPr>
        <w:t>OUT</w:t>
      </w:r>
      <w:r w:rsidRPr="00B44F94">
        <w:rPr>
          <w:rFonts w:hint="cs"/>
          <w:b/>
          <w:bCs/>
          <w:rtl/>
        </w:rPr>
        <w:t>)</w:t>
      </w:r>
      <w:r w:rsidRPr="00B44F94">
        <w:rPr>
          <w:b/>
          <w:bCs/>
        </w:rPr>
        <w:t xml:space="preserve"> </w:t>
      </w:r>
      <w:r w:rsidRPr="00B44F94">
        <w:rPr>
          <w:rFonts w:hint="cs"/>
          <w:b/>
          <w:bCs/>
          <w:rtl/>
        </w:rPr>
        <w:t>לפי מדינות עיקריות</w:t>
      </w:r>
    </w:p>
    <w:p w:rsidR="00604EF1" w:rsidRDefault="00D169C2" w:rsidP="002D49C8">
      <w:pPr>
        <w:pStyle w:val="BodyText2"/>
        <w:tabs>
          <w:tab w:val="left" w:pos="718"/>
        </w:tabs>
        <w:jc w:val="center"/>
        <w:rPr>
          <w:sz w:val="22"/>
          <w:szCs w:val="22"/>
          <w:rtl/>
        </w:rPr>
      </w:pPr>
      <w:r>
        <w:rPr>
          <w:noProof/>
          <w:sz w:val="22"/>
          <w:szCs w:val="22"/>
        </w:rPr>
        <w:drawing>
          <wp:inline distT="0" distB="0" distL="0" distR="0" wp14:anchorId="5BAAD6A6" wp14:editId="43F97838">
            <wp:extent cx="5814204" cy="3298132"/>
            <wp:effectExtent l="0" t="0" r="0" b="0"/>
            <wp:docPr id="36" name="Picture 36" descr="תרשים 6 – יתרות השקעות ישירות של תושבי ישראל בחו&quot;ל (OUT)  לפי מדינות עיקריות" title="תרשים 6 – יתרות השקעות ישירות של תושבי ישראל בחו&quot;ל (OUT)  לפי מדינות עיקר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199" cy="3299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35D" w:rsidRDefault="00103236" w:rsidP="005860F8">
      <w:pPr>
        <w:pStyle w:val="BodyText2"/>
        <w:spacing w:before="240"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בחלוקה </w:t>
      </w:r>
      <w:r w:rsidR="00CE532E" w:rsidRPr="00784679">
        <w:rPr>
          <w:rFonts w:hint="cs"/>
          <w:rtl/>
        </w:rPr>
        <w:t>לפי</w:t>
      </w:r>
      <w:r w:rsidRPr="00784679">
        <w:rPr>
          <w:rFonts w:hint="cs"/>
          <w:rtl/>
        </w:rPr>
        <w:t xml:space="preserve"> מדינות בולטות יתרות ההשקעה בהולנד</w:t>
      </w:r>
      <w:r w:rsidR="00281B4E" w:rsidRPr="00784679">
        <w:rPr>
          <w:rFonts w:hint="cs"/>
          <w:rtl/>
        </w:rPr>
        <w:t xml:space="preserve"> </w:t>
      </w:r>
      <w:r w:rsidR="00055F5A">
        <w:rPr>
          <w:rtl/>
        </w:rPr>
        <w:t>-</w:t>
      </w:r>
      <w:r w:rsidR="00281B4E" w:rsidRPr="00784679">
        <w:rPr>
          <w:rFonts w:hint="cs"/>
          <w:rtl/>
        </w:rPr>
        <w:t xml:space="preserve"> </w:t>
      </w:r>
      <w:r w:rsidR="003542A4">
        <w:rPr>
          <w:rFonts w:hint="cs"/>
          <w:rtl/>
        </w:rPr>
        <w:t>48.8</w:t>
      </w:r>
      <w:r w:rsidR="00281B4E" w:rsidRPr="00784679">
        <w:rPr>
          <w:rFonts w:hint="cs"/>
          <w:rtl/>
        </w:rPr>
        <w:t xml:space="preserve"> מיליארד דולר</w:t>
      </w:r>
      <w:r w:rsidRPr="00784679">
        <w:rPr>
          <w:rFonts w:hint="cs"/>
          <w:rtl/>
        </w:rPr>
        <w:t xml:space="preserve"> (</w:t>
      </w:r>
      <w:r w:rsidR="003542A4">
        <w:rPr>
          <w:rFonts w:hint="cs"/>
          <w:rtl/>
        </w:rPr>
        <w:t>48.6</w:t>
      </w:r>
      <w:r w:rsidR="009A56F9" w:rsidRPr="00784679">
        <w:rPr>
          <w:rFonts w:hint="cs"/>
          <w:rtl/>
        </w:rPr>
        <w:t xml:space="preserve">% מסך </w:t>
      </w:r>
      <w:r w:rsidR="009402B4" w:rsidRPr="00784679">
        <w:rPr>
          <w:rFonts w:hint="cs"/>
          <w:rtl/>
        </w:rPr>
        <w:t>יתרת ההשקעות של תושבי ישראל בחו"ל</w:t>
      </w:r>
      <w:r w:rsidR="005A4060" w:rsidRPr="00784679">
        <w:rPr>
          <w:rFonts w:hint="cs"/>
          <w:rtl/>
        </w:rPr>
        <w:t xml:space="preserve">), </w:t>
      </w:r>
      <w:r w:rsidR="00390FE1">
        <w:rPr>
          <w:rFonts w:hint="cs"/>
          <w:rtl/>
        </w:rPr>
        <w:t>ב</w:t>
      </w:r>
      <w:r w:rsidR="00FD5B62" w:rsidRPr="00784679">
        <w:rPr>
          <w:rFonts w:hint="cs"/>
          <w:rtl/>
        </w:rPr>
        <w:t>ארה"ב</w:t>
      </w:r>
      <w:r w:rsidR="00281B4E" w:rsidRPr="00784679">
        <w:rPr>
          <w:rFonts w:hint="cs"/>
          <w:rtl/>
        </w:rPr>
        <w:t xml:space="preserve"> </w:t>
      </w:r>
      <w:r w:rsidR="00055F5A">
        <w:rPr>
          <w:rFonts w:hint="cs"/>
          <w:rtl/>
        </w:rPr>
        <w:t>-</w:t>
      </w:r>
      <w:r w:rsidR="00281B4E" w:rsidRPr="00784679">
        <w:rPr>
          <w:rFonts w:hint="cs"/>
          <w:rtl/>
        </w:rPr>
        <w:t xml:space="preserve"> 10.</w:t>
      </w:r>
      <w:r w:rsidR="003542A4">
        <w:rPr>
          <w:rFonts w:hint="cs"/>
          <w:rtl/>
        </w:rPr>
        <w:t>9</w:t>
      </w:r>
      <w:r w:rsidR="00281B4E" w:rsidRPr="00784679">
        <w:rPr>
          <w:rFonts w:hint="cs"/>
          <w:rtl/>
        </w:rPr>
        <w:t xml:space="preserve"> מיליארד דולר</w:t>
      </w:r>
      <w:r w:rsidR="005A4060" w:rsidRPr="00784679">
        <w:rPr>
          <w:rFonts w:hint="cs"/>
          <w:rtl/>
        </w:rPr>
        <w:t xml:space="preserve"> (</w:t>
      </w:r>
      <w:r w:rsidR="00DF6B54" w:rsidRPr="00784679">
        <w:rPr>
          <w:rFonts w:hint="cs"/>
          <w:rtl/>
        </w:rPr>
        <w:t>10.</w:t>
      </w:r>
      <w:r w:rsidR="003542A4">
        <w:rPr>
          <w:rFonts w:hint="cs"/>
          <w:rtl/>
        </w:rPr>
        <w:t>9</w:t>
      </w:r>
      <w:r w:rsidR="00733853" w:rsidRPr="00784679">
        <w:rPr>
          <w:rFonts w:hint="cs"/>
          <w:rtl/>
        </w:rPr>
        <w:t xml:space="preserve">%) </w:t>
      </w:r>
      <w:r w:rsidR="009A56F9" w:rsidRPr="00784679">
        <w:rPr>
          <w:rFonts w:hint="cs"/>
          <w:rtl/>
        </w:rPr>
        <w:t>ו</w:t>
      </w:r>
      <w:r w:rsidR="00390FE1">
        <w:rPr>
          <w:rFonts w:hint="cs"/>
          <w:rtl/>
        </w:rPr>
        <w:t>ב</w:t>
      </w:r>
      <w:r w:rsidR="00EF2F97">
        <w:rPr>
          <w:rFonts w:hint="cs"/>
          <w:rtl/>
        </w:rPr>
        <w:t>קנדה</w:t>
      </w:r>
      <w:r w:rsidR="00281B4E" w:rsidRPr="00784679">
        <w:rPr>
          <w:rFonts w:hint="cs"/>
          <w:rtl/>
        </w:rPr>
        <w:t xml:space="preserve"> </w:t>
      </w:r>
      <w:r w:rsidR="00055F5A">
        <w:rPr>
          <w:rFonts w:hint="cs"/>
          <w:rtl/>
        </w:rPr>
        <w:t>-</w:t>
      </w:r>
      <w:r w:rsidR="00281B4E" w:rsidRPr="00784679">
        <w:rPr>
          <w:rFonts w:hint="cs"/>
          <w:rtl/>
        </w:rPr>
        <w:t xml:space="preserve"> 2.</w:t>
      </w:r>
      <w:r w:rsidR="003542A4">
        <w:rPr>
          <w:rFonts w:hint="cs"/>
          <w:rtl/>
        </w:rPr>
        <w:t>7</w:t>
      </w:r>
      <w:r w:rsidR="00281B4E" w:rsidRPr="00784679">
        <w:rPr>
          <w:rFonts w:hint="cs"/>
          <w:rtl/>
        </w:rPr>
        <w:t xml:space="preserve"> מיליארד דולר</w:t>
      </w:r>
      <w:r w:rsidR="009A56F9" w:rsidRPr="00784679">
        <w:rPr>
          <w:rFonts w:hint="cs"/>
          <w:rtl/>
        </w:rPr>
        <w:t xml:space="preserve"> (</w:t>
      </w:r>
      <w:r w:rsidR="00DF6B54" w:rsidRPr="00784679">
        <w:rPr>
          <w:rFonts w:hint="cs"/>
          <w:rtl/>
        </w:rPr>
        <w:t>2.</w:t>
      </w:r>
      <w:r w:rsidR="003542A4">
        <w:rPr>
          <w:rFonts w:hint="cs"/>
          <w:rtl/>
        </w:rPr>
        <w:t>7</w:t>
      </w:r>
      <w:r w:rsidR="009A56F9" w:rsidRPr="00784679">
        <w:rPr>
          <w:rFonts w:hint="cs"/>
          <w:rtl/>
        </w:rPr>
        <w:t>%).</w:t>
      </w:r>
    </w:p>
    <w:p w:rsidR="00066303" w:rsidRPr="00066303" w:rsidRDefault="00066303" w:rsidP="005F4070">
      <w:pPr>
        <w:pStyle w:val="BodyText2"/>
        <w:spacing w:before="120" w:line="360" w:lineRule="auto"/>
        <w:jc w:val="center"/>
        <w:rPr>
          <w:b/>
          <w:bCs/>
          <w:rtl/>
        </w:rPr>
      </w:pPr>
      <w:r w:rsidRPr="00B44F94">
        <w:rPr>
          <w:rFonts w:hint="cs"/>
          <w:b/>
          <w:bCs/>
          <w:rtl/>
        </w:rPr>
        <w:t xml:space="preserve">תרשים </w:t>
      </w:r>
      <w:r>
        <w:rPr>
          <w:rFonts w:hint="cs"/>
          <w:b/>
          <w:bCs/>
          <w:rtl/>
        </w:rPr>
        <w:t>7</w:t>
      </w:r>
      <w:r w:rsidRPr="00B44F94">
        <w:rPr>
          <w:rFonts w:hint="cs"/>
          <w:b/>
          <w:bCs/>
          <w:rtl/>
        </w:rPr>
        <w:t xml:space="preserve"> </w:t>
      </w:r>
      <w:r w:rsidR="00055F5A">
        <w:rPr>
          <w:b/>
          <w:bCs/>
          <w:rtl/>
        </w:rPr>
        <w:t>-</w:t>
      </w:r>
      <w:r w:rsidRPr="00B44F94">
        <w:rPr>
          <w:rFonts w:hint="cs"/>
          <w:b/>
          <w:bCs/>
          <w:rtl/>
        </w:rPr>
        <w:t xml:space="preserve"> יתרות השקעות ישירות של תושבי ישראל בחו"ל (</w:t>
      </w:r>
      <w:r w:rsidRPr="00B44F94">
        <w:rPr>
          <w:b/>
          <w:bCs/>
        </w:rPr>
        <w:t>OUT</w:t>
      </w:r>
      <w:r w:rsidRPr="00B44F94">
        <w:rPr>
          <w:rFonts w:hint="cs"/>
          <w:b/>
          <w:bCs/>
          <w:rtl/>
        </w:rPr>
        <w:t>)</w:t>
      </w:r>
      <w:r w:rsidRPr="00B44F94">
        <w:rPr>
          <w:b/>
          <w:bCs/>
        </w:rPr>
        <w:t xml:space="preserve"> </w:t>
      </w:r>
      <w:r w:rsidRPr="00B44F94">
        <w:rPr>
          <w:rFonts w:hint="cs"/>
          <w:b/>
          <w:bCs/>
          <w:rtl/>
        </w:rPr>
        <w:t xml:space="preserve">לפי </w:t>
      </w:r>
      <w:r>
        <w:rPr>
          <w:rFonts w:hint="cs"/>
          <w:b/>
          <w:bCs/>
          <w:rtl/>
        </w:rPr>
        <w:t>יבשות</w:t>
      </w:r>
      <w:r w:rsidRPr="00B44F94">
        <w:rPr>
          <w:rFonts w:hint="cs"/>
          <w:b/>
          <w:bCs/>
          <w:rtl/>
        </w:rPr>
        <w:t xml:space="preserve"> עיקריות</w:t>
      </w:r>
      <w:r>
        <w:rPr>
          <w:rFonts w:hint="cs"/>
          <w:b/>
          <w:bCs/>
          <w:rtl/>
        </w:rPr>
        <w:t>, 2017</w:t>
      </w:r>
    </w:p>
    <w:p w:rsidR="00761A0C" w:rsidRDefault="00E5049C" w:rsidP="001C3CB0">
      <w:pPr>
        <w:pStyle w:val="BodyText2"/>
        <w:jc w:val="center"/>
        <w:rPr>
          <w:b/>
          <w:bCs/>
          <w:color w:val="0000FF"/>
          <w:sz w:val="20"/>
          <w:szCs w:val="20"/>
          <w:u w:val="single"/>
          <w:rtl/>
          <w:lang w:eastAsia="he-IL"/>
        </w:rPr>
      </w:pPr>
      <w:r>
        <w:rPr>
          <w:noProof/>
          <w:sz w:val="22"/>
          <w:szCs w:val="22"/>
        </w:rPr>
        <w:drawing>
          <wp:inline distT="0" distB="0" distL="0" distR="0" wp14:anchorId="5485D4FC" wp14:editId="2D489CD1">
            <wp:extent cx="3681230" cy="2877700"/>
            <wp:effectExtent l="0" t="0" r="0" b="0"/>
            <wp:docPr id="37" name="Picture 37" descr="התרשים מתאר את  יתרות השקעות ישירות של תושבי ישראל בחו&quot;ל, לפי יבשות עיקריות לשנת 2017" title="תרשים 7: יתרות השקעות ישירות של תושבי ישראל בחו&quot;ל, לפי יבשות עיקריות לשנת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763" cy="2878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6CA">
        <w:rPr>
          <w:rFonts w:hint="cs"/>
          <w:sz w:val="22"/>
          <w:szCs w:val="22"/>
          <w:rtl/>
        </w:rPr>
        <w:t xml:space="preserve"> </w:t>
      </w:r>
    </w:p>
    <w:p w:rsidR="00AE6DE3" w:rsidRPr="00784679" w:rsidRDefault="00103236" w:rsidP="00142CC9">
      <w:pPr>
        <w:pStyle w:val="BodyText2"/>
        <w:spacing w:before="240"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בחלוקה </w:t>
      </w:r>
      <w:r w:rsidR="00CE532E" w:rsidRPr="00784679">
        <w:rPr>
          <w:rFonts w:hint="cs"/>
          <w:rtl/>
        </w:rPr>
        <w:t>לפי</w:t>
      </w:r>
      <w:r w:rsidRPr="00784679">
        <w:rPr>
          <w:rFonts w:hint="cs"/>
          <w:rtl/>
        </w:rPr>
        <w:t xml:space="preserve"> יבשות בולט משקלה של יבשת אירופה (</w:t>
      </w:r>
      <w:r w:rsidR="009D5259">
        <w:rPr>
          <w:rFonts w:hint="cs"/>
          <w:rtl/>
        </w:rPr>
        <w:t>63.</w:t>
      </w:r>
      <w:r w:rsidR="008949B7">
        <w:rPr>
          <w:rFonts w:hint="cs"/>
          <w:rtl/>
        </w:rPr>
        <w:t>2</w:t>
      </w:r>
      <w:r w:rsidRPr="00784679">
        <w:rPr>
          <w:rFonts w:hint="cs"/>
          <w:rtl/>
        </w:rPr>
        <w:t xml:space="preserve">% מסך היתרה) לעומת </w:t>
      </w:r>
      <w:r w:rsidR="000E1ABA">
        <w:rPr>
          <w:rFonts w:hint="cs"/>
          <w:rtl/>
        </w:rPr>
        <w:t>יבשת</w:t>
      </w:r>
      <w:r w:rsidRPr="00784679">
        <w:rPr>
          <w:rFonts w:hint="cs"/>
          <w:rtl/>
        </w:rPr>
        <w:t xml:space="preserve"> אמריקה (</w:t>
      </w:r>
      <w:r w:rsidR="009D5259">
        <w:rPr>
          <w:rFonts w:hint="cs"/>
          <w:rtl/>
        </w:rPr>
        <w:t>17.4</w:t>
      </w:r>
      <w:r w:rsidRPr="00784679">
        <w:rPr>
          <w:rFonts w:hint="cs"/>
          <w:rtl/>
        </w:rPr>
        <w:t xml:space="preserve">%) </w:t>
      </w:r>
      <w:r w:rsidR="000E1ABA">
        <w:rPr>
          <w:rFonts w:hint="cs"/>
          <w:rtl/>
        </w:rPr>
        <w:t>ו</w:t>
      </w:r>
      <w:r w:rsidRPr="00784679">
        <w:rPr>
          <w:rFonts w:hint="cs"/>
          <w:rtl/>
        </w:rPr>
        <w:t>אסיה ואוקיאניה (</w:t>
      </w:r>
      <w:r w:rsidR="00755210" w:rsidRPr="00784679">
        <w:rPr>
          <w:rFonts w:hint="cs"/>
          <w:rtl/>
        </w:rPr>
        <w:t>5</w:t>
      </w:r>
      <w:r w:rsidR="00BF34EF">
        <w:rPr>
          <w:rFonts w:hint="cs"/>
          <w:rtl/>
        </w:rPr>
        <w:t>.0</w:t>
      </w:r>
      <w:r w:rsidR="000E1ABA">
        <w:rPr>
          <w:rFonts w:hint="cs"/>
          <w:rtl/>
        </w:rPr>
        <w:t>%).</w:t>
      </w:r>
    </w:p>
    <w:p w:rsidR="00E35D30" w:rsidRPr="00784679" w:rsidRDefault="001E57E7" w:rsidP="00A334E2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הערה: </w:t>
      </w:r>
      <w:r w:rsidR="00E35D30" w:rsidRPr="00784679">
        <w:rPr>
          <w:rFonts w:hint="cs"/>
          <w:rtl/>
        </w:rPr>
        <w:t>עבור כ-</w:t>
      </w:r>
      <w:r w:rsidR="009B4AB2">
        <w:rPr>
          <w:rFonts w:hint="cs"/>
          <w:rtl/>
        </w:rPr>
        <w:t>14.4</w:t>
      </w:r>
      <w:r w:rsidR="00E35D30" w:rsidRPr="00784679">
        <w:rPr>
          <w:rFonts w:hint="cs"/>
          <w:rtl/>
        </w:rPr>
        <w:t>% מיתרות ההשקעה</w:t>
      </w:r>
      <w:r w:rsidR="00B4429F" w:rsidRPr="00784679">
        <w:rPr>
          <w:rFonts w:hint="cs"/>
          <w:rtl/>
        </w:rPr>
        <w:t xml:space="preserve"> היוצאת</w:t>
      </w:r>
      <w:r w:rsidR="00E35D30" w:rsidRPr="00784679">
        <w:rPr>
          <w:rFonts w:hint="cs"/>
          <w:rtl/>
        </w:rPr>
        <w:t xml:space="preserve"> אין נתונים לגבי ההתפלגות הגאוגרפית.</w:t>
      </w:r>
    </w:p>
    <w:p w:rsidR="006C5257" w:rsidRPr="001976EB" w:rsidRDefault="00222B1B" w:rsidP="0023578F">
      <w:pPr>
        <w:pStyle w:val="4"/>
        <w:rPr>
          <w:rtl/>
        </w:rPr>
      </w:pPr>
      <w:r w:rsidRPr="001976EB">
        <w:rPr>
          <w:rFonts w:hint="cs"/>
          <w:rtl/>
        </w:rPr>
        <w:lastRenderedPageBreak/>
        <w:t xml:space="preserve">יתרות </w:t>
      </w:r>
      <w:r w:rsidR="00A615B8" w:rsidRPr="001976EB">
        <w:rPr>
          <w:rFonts w:hint="cs"/>
          <w:rtl/>
        </w:rPr>
        <w:t>השקעות ישירות</w:t>
      </w:r>
      <w:r w:rsidR="00EF2BD8">
        <w:rPr>
          <w:rFonts w:hint="cs"/>
          <w:rtl/>
        </w:rPr>
        <w:t xml:space="preserve"> יוצאות</w:t>
      </w:r>
      <w:r w:rsidR="00A615B8" w:rsidRPr="001976EB">
        <w:rPr>
          <w:rFonts w:hint="cs"/>
          <w:rtl/>
        </w:rPr>
        <w:t xml:space="preserve"> לפי ענפים ומדינות</w:t>
      </w:r>
      <w:r w:rsidR="00A5444C" w:rsidRPr="001976EB">
        <w:rPr>
          <w:rFonts w:hint="cs"/>
          <w:rtl/>
        </w:rPr>
        <w:t xml:space="preserve"> (לוח </w:t>
      </w:r>
      <w:r w:rsidR="00B91629" w:rsidRPr="001976EB">
        <w:rPr>
          <w:rFonts w:hint="cs"/>
          <w:rtl/>
        </w:rPr>
        <w:t>11</w:t>
      </w:r>
      <w:r w:rsidR="00A5444C" w:rsidRPr="001976EB">
        <w:rPr>
          <w:rFonts w:hint="cs"/>
          <w:rtl/>
        </w:rPr>
        <w:t>)</w:t>
      </w:r>
    </w:p>
    <w:p w:rsidR="00A27B0B" w:rsidRPr="00784679" w:rsidRDefault="00A27B0B" w:rsidP="00B633D4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יתרות ההשקעות העיקריות של </w:t>
      </w:r>
      <w:r w:rsidR="00652EBF">
        <w:rPr>
          <w:rFonts w:hint="cs"/>
          <w:rtl/>
        </w:rPr>
        <w:t>חברות מ</w:t>
      </w:r>
      <w:r w:rsidRPr="00784679">
        <w:rPr>
          <w:rFonts w:hint="cs"/>
          <w:rtl/>
        </w:rPr>
        <w:t xml:space="preserve">ענף </w:t>
      </w:r>
      <w:r w:rsidR="00B11AB0">
        <w:rPr>
          <w:rFonts w:hint="cs"/>
          <w:rtl/>
        </w:rPr>
        <w:t>התעשייה</w:t>
      </w:r>
      <w:r w:rsidRPr="00784679">
        <w:rPr>
          <w:rFonts w:hint="cs"/>
          <w:rtl/>
        </w:rPr>
        <w:t xml:space="preserve"> היו בהולנד (</w:t>
      </w:r>
      <w:r w:rsidR="00B11AB0">
        <w:rPr>
          <w:rFonts w:hint="cs"/>
          <w:rtl/>
        </w:rPr>
        <w:t>44.1</w:t>
      </w:r>
      <w:r w:rsidRPr="00784679">
        <w:rPr>
          <w:rFonts w:hint="cs"/>
          <w:rtl/>
        </w:rPr>
        <w:t xml:space="preserve"> מיליארד דולר)</w:t>
      </w:r>
      <w:r w:rsidR="007C2D22">
        <w:rPr>
          <w:rFonts w:hint="cs"/>
          <w:rtl/>
        </w:rPr>
        <w:t xml:space="preserve"> ו</w:t>
      </w:r>
      <w:r w:rsidR="00B633D4">
        <w:rPr>
          <w:rFonts w:hint="cs"/>
          <w:rtl/>
        </w:rPr>
        <w:t>ב</w:t>
      </w:r>
      <w:r w:rsidR="007C2D22">
        <w:rPr>
          <w:rFonts w:hint="cs"/>
          <w:rtl/>
        </w:rPr>
        <w:t xml:space="preserve">ארה"ב </w:t>
      </w:r>
      <w:r w:rsidR="007C2D22" w:rsidRPr="00784679">
        <w:rPr>
          <w:rFonts w:hint="cs"/>
          <w:rtl/>
        </w:rPr>
        <w:t>(</w:t>
      </w:r>
      <w:r w:rsidR="007C2D22">
        <w:rPr>
          <w:rFonts w:hint="cs"/>
          <w:rtl/>
        </w:rPr>
        <w:t>4.7</w:t>
      </w:r>
      <w:r w:rsidR="007C2D22" w:rsidRPr="00784679">
        <w:rPr>
          <w:rFonts w:hint="cs"/>
          <w:rtl/>
        </w:rPr>
        <w:t xml:space="preserve"> מיליארד דולר)</w:t>
      </w:r>
      <w:r w:rsidR="00B633D4">
        <w:rPr>
          <w:rFonts w:hint="cs"/>
          <w:rtl/>
        </w:rPr>
        <w:t xml:space="preserve">. </w:t>
      </w:r>
      <w:r w:rsidR="00B633D4" w:rsidRPr="00784679">
        <w:rPr>
          <w:rFonts w:hint="cs"/>
          <w:rtl/>
        </w:rPr>
        <w:t xml:space="preserve">יתרות ההשקעות העיקריות של </w:t>
      </w:r>
      <w:r w:rsidR="00652EBF">
        <w:rPr>
          <w:rFonts w:hint="cs"/>
          <w:rtl/>
        </w:rPr>
        <w:t>חברות מ</w:t>
      </w:r>
      <w:r w:rsidR="005E2E77" w:rsidRPr="00784679">
        <w:rPr>
          <w:rFonts w:hint="cs"/>
          <w:rtl/>
        </w:rPr>
        <w:t>ענ</w:t>
      </w:r>
      <w:r w:rsidR="00B11AB0">
        <w:rPr>
          <w:rFonts w:hint="cs"/>
          <w:rtl/>
        </w:rPr>
        <w:t>פי</w:t>
      </w:r>
      <w:r w:rsidRPr="00784679">
        <w:rPr>
          <w:rFonts w:hint="cs"/>
          <w:rtl/>
        </w:rPr>
        <w:t xml:space="preserve"> </w:t>
      </w:r>
      <w:r w:rsidR="0006263D">
        <w:rPr>
          <w:rFonts w:hint="cs"/>
          <w:rtl/>
        </w:rPr>
        <w:t>ה</w:t>
      </w:r>
      <w:r w:rsidRPr="00784679">
        <w:rPr>
          <w:rFonts w:hint="cs"/>
          <w:rtl/>
        </w:rPr>
        <w:t xml:space="preserve">שירותים </w:t>
      </w:r>
      <w:r w:rsidR="005E2E77" w:rsidRPr="00784679">
        <w:rPr>
          <w:rFonts w:hint="cs"/>
          <w:rtl/>
        </w:rPr>
        <w:t xml:space="preserve">היו </w:t>
      </w:r>
      <w:r w:rsidR="0006263D">
        <w:rPr>
          <w:rFonts w:hint="cs"/>
          <w:rtl/>
        </w:rPr>
        <w:t>ב</w:t>
      </w:r>
      <w:r w:rsidR="007C2D22">
        <w:rPr>
          <w:rFonts w:hint="cs"/>
          <w:rtl/>
        </w:rPr>
        <w:t>ארה"ב</w:t>
      </w:r>
      <w:r w:rsidR="005A78EE" w:rsidRPr="00784679">
        <w:rPr>
          <w:rFonts w:hint="cs"/>
          <w:rtl/>
        </w:rPr>
        <w:t xml:space="preserve"> (</w:t>
      </w:r>
      <w:r w:rsidR="007C2D22">
        <w:rPr>
          <w:rFonts w:hint="cs"/>
          <w:rtl/>
        </w:rPr>
        <w:t>5.5</w:t>
      </w:r>
      <w:r w:rsidR="005A78EE" w:rsidRPr="00784679">
        <w:rPr>
          <w:rFonts w:hint="cs"/>
          <w:rtl/>
        </w:rPr>
        <w:t xml:space="preserve"> מיליארד דולר),</w:t>
      </w:r>
      <w:r w:rsidR="005E2E77" w:rsidRPr="00784679">
        <w:rPr>
          <w:rFonts w:hint="cs"/>
          <w:rtl/>
        </w:rPr>
        <w:t xml:space="preserve"> </w:t>
      </w:r>
      <w:r w:rsidR="007C2D22">
        <w:rPr>
          <w:rFonts w:hint="cs"/>
          <w:rtl/>
        </w:rPr>
        <w:t>הולנד</w:t>
      </w:r>
      <w:r w:rsidR="005F38BA">
        <w:rPr>
          <w:rFonts w:hint="cs"/>
          <w:rtl/>
        </w:rPr>
        <w:t xml:space="preserve"> </w:t>
      </w:r>
      <w:r w:rsidR="007C2D22" w:rsidRPr="00784679">
        <w:rPr>
          <w:rFonts w:hint="cs"/>
          <w:rtl/>
        </w:rPr>
        <w:t>(</w:t>
      </w:r>
      <w:r w:rsidR="007C2D22">
        <w:rPr>
          <w:rFonts w:hint="cs"/>
          <w:rtl/>
        </w:rPr>
        <w:t>3.8</w:t>
      </w:r>
      <w:r w:rsidR="007C2D22" w:rsidRPr="00784679">
        <w:rPr>
          <w:rFonts w:hint="cs"/>
          <w:rtl/>
        </w:rPr>
        <w:t xml:space="preserve"> מיליארד דולר) </w:t>
      </w:r>
      <w:r w:rsidR="007C2D22">
        <w:rPr>
          <w:rFonts w:hint="cs"/>
          <w:rtl/>
        </w:rPr>
        <w:t xml:space="preserve"> קנדה</w:t>
      </w:r>
      <w:r w:rsidR="005E2E77" w:rsidRPr="00784679">
        <w:rPr>
          <w:rFonts w:hint="cs"/>
          <w:rtl/>
        </w:rPr>
        <w:t xml:space="preserve"> (</w:t>
      </w:r>
      <w:r w:rsidR="0006263D">
        <w:rPr>
          <w:rFonts w:hint="cs"/>
          <w:rtl/>
        </w:rPr>
        <w:t>2.2</w:t>
      </w:r>
      <w:r w:rsidR="005A78EE" w:rsidRPr="00784679">
        <w:rPr>
          <w:rFonts w:hint="cs"/>
          <w:rtl/>
        </w:rPr>
        <w:t xml:space="preserve"> מיליארד דולר)</w:t>
      </w:r>
      <w:r w:rsidR="007C2D22">
        <w:rPr>
          <w:rFonts w:hint="cs"/>
          <w:rtl/>
        </w:rPr>
        <w:t>,</w:t>
      </w:r>
      <w:r w:rsidR="005A78EE" w:rsidRPr="00784679">
        <w:rPr>
          <w:rFonts w:hint="cs"/>
          <w:rtl/>
        </w:rPr>
        <w:t xml:space="preserve"> </w:t>
      </w:r>
      <w:r w:rsidR="007C2D22">
        <w:rPr>
          <w:rFonts w:hint="cs"/>
          <w:rtl/>
        </w:rPr>
        <w:t>לו</w:t>
      </w:r>
      <w:r w:rsidR="00B633D4">
        <w:rPr>
          <w:rFonts w:hint="cs"/>
          <w:rtl/>
        </w:rPr>
        <w:t>ק</w:t>
      </w:r>
      <w:r w:rsidR="007C2D22">
        <w:rPr>
          <w:rFonts w:hint="cs"/>
          <w:rtl/>
        </w:rPr>
        <w:t>סמבורג</w:t>
      </w:r>
      <w:r w:rsidR="005A78EE" w:rsidRPr="00784679">
        <w:rPr>
          <w:rFonts w:hint="cs"/>
          <w:rtl/>
        </w:rPr>
        <w:t xml:space="preserve"> ו</w:t>
      </w:r>
      <w:r w:rsidR="007C2D22">
        <w:rPr>
          <w:rFonts w:hint="cs"/>
          <w:rtl/>
        </w:rPr>
        <w:t>ג'ר</w:t>
      </w:r>
      <w:r w:rsidR="005F38BA">
        <w:rPr>
          <w:rFonts w:hint="cs"/>
          <w:rtl/>
        </w:rPr>
        <w:t>ז</w:t>
      </w:r>
      <w:r w:rsidR="007C2D22">
        <w:rPr>
          <w:rFonts w:hint="cs"/>
          <w:rtl/>
        </w:rPr>
        <w:t>י</w:t>
      </w:r>
      <w:r w:rsidR="005A78EE" w:rsidRPr="00784679">
        <w:rPr>
          <w:rFonts w:hint="cs"/>
          <w:rtl/>
        </w:rPr>
        <w:t xml:space="preserve"> (1.</w:t>
      </w:r>
      <w:r w:rsidR="007C2D22">
        <w:rPr>
          <w:rFonts w:hint="cs"/>
          <w:rtl/>
        </w:rPr>
        <w:t>6</w:t>
      </w:r>
      <w:r w:rsidR="005E2E77" w:rsidRPr="00784679">
        <w:rPr>
          <w:rFonts w:hint="cs"/>
          <w:rtl/>
        </w:rPr>
        <w:t xml:space="preserve"> ו-1.</w:t>
      </w:r>
      <w:r w:rsidR="007C2D22">
        <w:rPr>
          <w:rFonts w:hint="cs"/>
          <w:rtl/>
        </w:rPr>
        <w:t>5</w:t>
      </w:r>
      <w:r w:rsidR="005E2E77" w:rsidRPr="00784679">
        <w:rPr>
          <w:rFonts w:hint="cs"/>
          <w:rtl/>
        </w:rPr>
        <w:t xml:space="preserve"> מיליארד דולר</w:t>
      </w:r>
      <w:r w:rsidR="005F38BA">
        <w:rPr>
          <w:rFonts w:hint="cs"/>
          <w:rtl/>
        </w:rPr>
        <w:t>,</w:t>
      </w:r>
      <w:r w:rsidR="005E2E77" w:rsidRPr="00784679">
        <w:rPr>
          <w:rFonts w:hint="cs"/>
          <w:rtl/>
        </w:rPr>
        <w:t xml:space="preserve"> בהתאמה)</w:t>
      </w:r>
      <w:r w:rsidRPr="00784679">
        <w:rPr>
          <w:rFonts w:hint="cs"/>
          <w:rtl/>
        </w:rPr>
        <w:t>.</w:t>
      </w:r>
    </w:p>
    <w:p w:rsidR="003A4555" w:rsidRPr="00784679" w:rsidRDefault="003A4555" w:rsidP="005F38BA">
      <w:pPr>
        <w:pStyle w:val="3"/>
        <w:rPr>
          <w:rtl/>
        </w:rPr>
      </w:pPr>
      <w:r w:rsidRPr="00784679">
        <w:rPr>
          <w:rFonts w:hint="cs"/>
          <w:rtl/>
        </w:rPr>
        <w:t>תנועות</w:t>
      </w:r>
      <w:r w:rsidR="00E83408" w:rsidRPr="00784679">
        <w:rPr>
          <w:rFonts w:hint="cs"/>
          <w:rtl/>
        </w:rPr>
        <w:t xml:space="preserve"> </w:t>
      </w:r>
      <w:r w:rsidR="00383C1E">
        <w:rPr>
          <w:rFonts w:hint="cs"/>
          <w:rtl/>
        </w:rPr>
        <w:t>ב</w:t>
      </w:r>
      <w:r w:rsidR="00E83408" w:rsidRPr="00784679">
        <w:rPr>
          <w:rFonts w:hint="cs"/>
          <w:rtl/>
        </w:rPr>
        <w:t>השקעות יוצאות</w:t>
      </w:r>
      <w:r w:rsidR="00B91629" w:rsidRPr="00784679">
        <w:rPr>
          <w:rFonts w:hint="cs"/>
          <w:rtl/>
        </w:rPr>
        <w:t xml:space="preserve"> (לוחות 1</w:t>
      </w:r>
      <w:r w:rsidR="005F38BA">
        <w:rPr>
          <w:rFonts w:hint="cs"/>
          <w:rtl/>
        </w:rPr>
        <w:t>4</w:t>
      </w:r>
      <w:r w:rsidR="00B91629" w:rsidRPr="00784679">
        <w:rPr>
          <w:rFonts w:hint="cs"/>
          <w:rtl/>
        </w:rPr>
        <w:t>-1</w:t>
      </w:r>
      <w:r w:rsidR="005F38BA">
        <w:rPr>
          <w:rFonts w:hint="cs"/>
          <w:rtl/>
        </w:rPr>
        <w:t>2</w:t>
      </w:r>
      <w:r w:rsidR="00B91629" w:rsidRPr="00784679">
        <w:rPr>
          <w:rFonts w:hint="cs"/>
          <w:rtl/>
        </w:rPr>
        <w:t>)</w:t>
      </w:r>
    </w:p>
    <w:p w:rsidR="003B72CC" w:rsidRPr="00784679" w:rsidRDefault="00B633D4" w:rsidP="00EF2BD8">
      <w:pPr>
        <w:pStyle w:val="BodyText2"/>
        <w:spacing w:line="360" w:lineRule="auto"/>
        <w:jc w:val="left"/>
        <w:rPr>
          <w:rtl/>
        </w:rPr>
      </w:pPr>
      <w:r>
        <w:rPr>
          <w:rFonts w:hint="cs"/>
          <w:rtl/>
        </w:rPr>
        <w:t>ה</w:t>
      </w:r>
      <w:r w:rsidR="003B72CC" w:rsidRPr="00784679">
        <w:rPr>
          <w:rFonts w:hint="cs"/>
          <w:rtl/>
        </w:rPr>
        <w:t xml:space="preserve">תנועות </w:t>
      </w:r>
      <w:r w:rsidR="00383C1E">
        <w:rPr>
          <w:rFonts w:hint="cs"/>
          <w:rtl/>
        </w:rPr>
        <w:t>ב</w:t>
      </w:r>
      <w:r w:rsidR="003B72CC" w:rsidRPr="00784679">
        <w:rPr>
          <w:rFonts w:hint="cs"/>
          <w:rtl/>
        </w:rPr>
        <w:t>השקע</w:t>
      </w:r>
      <w:r w:rsidR="00EF2BD8">
        <w:rPr>
          <w:rFonts w:hint="cs"/>
          <w:rtl/>
        </w:rPr>
        <w:t>ות</w:t>
      </w:r>
      <w:r w:rsidR="003B72CC" w:rsidRPr="00784679">
        <w:rPr>
          <w:rFonts w:hint="cs"/>
          <w:rtl/>
        </w:rPr>
        <w:t xml:space="preserve"> הישיר</w:t>
      </w:r>
      <w:r w:rsidR="00EF2BD8">
        <w:rPr>
          <w:rFonts w:hint="cs"/>
          <w:rtl/>
        </w:rPr>
        <w:t>ות היוצאות</w:t>
      </w:r>
      <w:r w:rsidR="003B72CC" w:rsidRPr="00784679">
        <w:rPr>
          <w:rFonts w:hint="cs"/>
          <w:rtl/>
        </w:rPr>
        <w:t xml:space="preserve"> בשנת </w:t>
      </w:r>
      <w:r w:rsidR="00D01DBF" w:rsidRPr="00784679">
        <w:rPr>
          <w:rFonts w:hint="cs"/>
          <w:rtl/>
        </w:rPr>
        <w:t>201</w:t>
      </w:r>
      <w:r w:rsidR="00A555FB">
        <w:rPr>
          <w:rFonts w:hint="cs"/>
          <w:rtl/>
        </w:rPr>
        <w:t>7</w:t>
      </w:r>
      <w:r w:rsidR="003B72CC" w:rsidRPr="00784679">
        <w:rPr>
          <w:rFonts w:hint="cs"/>
          <w:rtl/>
        </w:rPr>
        <w:t xml:space="preserve"> הסתכמו ב-</w:t>
      </w:r>
      <w:r w:rsidR="00A555FB">
        <w:rPr>
          <w:rFonts w:hint="cs"/>
          <w:rtl/>
        </w:rPr>
        <w:t>6.</w:t>
      </w:r>
      <w:r w:rsidR="00287A1F">
        <w:rPr>
          <w:rFonts w:hint="cs"/>
          <w:rtl/>
        </w:rPr>
        <w:t>1</w:t>
      </w:r>
      <w:r w:rsidR="003B72CC" w:rsidRPr="00784679">
        <w:rPr>
          <w:rFonts w:hint="cs"/>
          <w:rtl/>
        </w:rPr>
        <w:t xml:space="preserve"> מיליארד </w:t>
      </w:r>
      <w:r w:rsidR="00B35AA3" w:rsidRPr="00784679">
        <w:rPr>
          <w:rFonts w:hint="cs"/>
          <w:rtl/>
        </w:rPr>
        <w:t>דולר</w:t>
      </w:r>
      <w:r w:rsidR="003B72CC" w:rsidRPr="00784679">
        <w:rPr>
          <w:rFonts w:hint="cs"/>
          <w:rtl/>
        </w:rPr>
        <w:t xml:space="preserve"> לעומת </w:t>
      </w:r>
      <w:r w:rsidR="00A555FB">
        <w:rPr>
          <w:rFonts w:hint="cs"/>
          <w:rtl/>
        </w:rPr>
        <w:t>14.6</w:t>
      </w:r>
      <w:r w:rsidR="003B72CC" w:rsidRPr="00784679">
        <w:rPr>
          <w:rFonts w:hint="cs"/>
          <w:rtl/>
        </w:rPr>
        <w:t xml:space="preserve"> מיליארד </w:t>
      </w:r>
      <w:r w:rsidR="00B35AA3" w:rsidRPr="00784679">
        <w:rPr>
          <w:rFonts w:hint="cs"/>
          <w:rtl/>
        </w:rPr>
        <w:t>דולר</w:t>
      </w:r>
      <w:r w:rsidR="003B72CC" w:rsidRPr="00784679">
        <w:rPr>
          <w:rFonts w:hint="cs"/>
          <w:rtl/>
        </w:rPr>
        <w:t xml:space="preserve"> בשנת </w:t>
      </w:r>
      <w:r w:rsidR="00D01DBF" w:rsidRPr="00784679">
        <w:rPr>
          <w:rFonts w:hint="cs"/>
          <w:rtl/>
        </w:rPr>
        <w:t>201</w:t>
      </w:r>
      <w:r w:rsidR="00A555FB">
        <w:rPr>
          <w:rFonts w:hint="cs"/>
          <w:rtl/>
        </w:rPr>
        <w:t>6</w:t>
      </w:r>
      <w:r w:rsidR="003B72CC" w:rsidRPr="00784679">
        <w:rPr>
          <w:rFonts w:hint="cs"/>
          <w:rtl/>
        </w:rPr>
        <w:t>.</w:t>
      </w:r>
    </w:p>
    <w:p w:rsidR="00A5444C" w:rsidRPr="003F0837" w:rsidRDefault="00222B1B" w:rsidP="00281655">
      <w:pPr>
        <w:pStyle w:val="4"/>
        <w:spacing w:before="120"/>
        <w:rPr>
          <w:rtl/>
        </w:rPr>
      </w:pPr>
      <w:r w:rsidRPr="003F0837">
        <w:rPr>
          <w:rFonts w:hint="cs"/>
          <w:rtl/>
        </w:rPr>
        <w:t xml:space="preserve">תנועות </w:t>
      </w:r>
      <w:r w:rsidR="00383C1E" w:rsidRPr="003F0837">
        <w:rPr>
          <w:rFonts w:hint="cs"/>
          <w:rtl/>
        </w:rPr>
        <w:t>ב</w:t>
      </w:r>
      <w:r w:rsidR="00F96110" w:rsidRPr="003F0837">
        <w:rPr>
          <w:rFonts w:hint="cs"/>
          <w:rtl/>
        </w:rPr>
        <w:t xml:space="preserve">השקעות ישירות </w:t>
      </w:r>
      <w:r w:rsidR="00EF2BD8">
        <w:rPr>
          <w:rFonts w:hint="cs"/>
          <w:rtl/>
        </w:rPr>
        <w:t xml:space="preserve">יוצאות </w:t>
      </w:r>
      <w:r w:rsidR="00F96110" w:rsidRPr="003F0837">
        <w:rPr>
          <w:rFonts w:hint="cs"/>
          <w:rtl/>
        </w:rPr>
        <w:t xml:space="preserve">לפי ענף כלכלי </w:t>
      </w:r>
      <w:r w:rsidR="00CE2B88" w:rsidRPr="003F0837">
        <w:rPr>
          <w:rFonts w:hint="cs"/>
          <w:rtl/>
        </w:rPr>
        <w:t xml:space="preserve">(לוחות </w:t>
      </w:r>
      <w:r w:rsidR="003D15B0" w:rsidRPr="003F0837">
        <w:rPr>
          <w:rFonts w:hint="cs"/>
          <w:rtl/>
        </w:rPr>
        <w:t>12</w:t>
      </w:r>
      <w:r w:rsidR="006C5257" w:rsidRPr="003F0837">
        <w:rPr>
          <w:rFonts w:hint="cs"/>
          <w:rtl/>
        </w:rPr>
        <w:t xml:space="preserve"> ו-</w:t>
      </w:r>
      <w:r w:rsidR="003D15B0" w:rsidRPr="003F0837">
        <w:rPr>
          <w:rFonts w:hint="cs"/>
          <w:rtl/>
        </w:rPr>
        <w:t>14</w:t>
      </w:r>
      <w:r w:rsidR="00CE2B88" w:rsidRPr="003F0837">
        <w:rPr>
          <w:rFonts w:hint="cs"/>
          <w:rtl/>
        </w:rPr>
        <w:t>)</w:t>
      </w:r>
    </w:p>
    <w:p w:rsidR="00CE532E" w:rsidRPr="00784679" w:rsidRDefault="006548A8" w:rsidP="00081945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עיקר </w:t>
      </w:r>
      <w:r w:rsidR="006C5257" w:rsidRPr="00784679">
        <w:rPr>
          <w:rFonts w:hint="cs"/>
          <w:rtl/>
        </w:rPr>
        <w:t xml:space="preserve">ההשקעות בשנת </w:t>
      </w:r>
      <w:r w:rsidR="00D01DBF" w:rsidRPr="00784679">
        <w:rPr>
          <w:rFonts w:hint="cs"/>
          <w:rtl/>
        </w:rPr>
        <w:t>201</w:t>
      </w:r>
      <w:r w:rsidR="00D40116">
        <w:rPr>
          <w:rFonts w:hint="cs"/>
          <w:rtl/>
        </w:rPr>
        <w:t>7</w:t>
      </w:r>
      <w:r w:rsidR="00CE532E" w:rsidRPr="00784679">
        <w:rPr>
          <w:rFonts w:hint="cs"/>
          <w:rtl/>
        </w:rPr>
        <w:t xml:space="preserve"> היו </w:t>
      </w:r>
      <w:r w:rsidR="00081945">
        <w:rPr>
          <w:rFonts w:hint="cs"/>
          <w:rtl/>
        </w:rPr>
        <w:t>של חברות מ</w:t>
      </w:r>
      <w:r w:rsidR="00CE532E" w:rsidRPr="00784679">
        <w:rPr>
          <w:rFonts w:hint="cs"/>
          <w:rtl/>
        </w:rPr>
        <w:t xml:space="preserve">ענף </w:t>
      </w:r>
      <w:r w:rsidR="005D6881" w:rsidRPr="00784679">
        <w:rPr>
          <w:rtl/>
        </w:rPr>
        <w:t>ייצור מוצרי נפט, כימיקלים ותרופות</w:t>
      </w:r>
      <w:r w:rsidR="005D6881" w:rsidRPr="00784679">
        <w:rPr>
          <w:rFonts w:hint="cs"/>
          <w:rtl/>
        </w:rPr>
        <w:t xml:space="preserve"> </w:t>
      </w:r>
      <w:r w:rsidR="00055F5A">
        <w:rPr>
          <w:rFonts w:hint="eastAsia"/>
          <w:rtl/>
        </w:rPr>
        <w:t>-</w:t>
      </w:r>
      <w:r w:rsidR="00CE532E" w:rsidRPr="00784679">
        <w:rPr>
          <w:rFonts w:hint="cs"/>
          <w:rtl/>
        </w:rPr>
        <w:t xml:space="preserve"> כ-</w:t>
      </w:r>
      <w:r w:rsidR="00D40116">
        <w:rPr>
          <w:rFonts w:hint="cs"/>
          <w:rtl/>
        </w:rPr>
        <w:t>3.6</w:t>
      </w:r>
      <w:r w:rsidR="00CE532E" w:rsidRPr="00784679">
        <w:rPr>
          <w:rFonts w:hint="cs"/>
          <w:rtl/>
        </w:rPr>
        <w:t xml:space="preserve"> מיליארד </w:t>
      </w:r>
      <w:r w:rsidR="00B35AA3" w:rsidRPr="00784679">
        <w:rPr>
          <w:rFonts w:hint="cs"/>
          <w:rtl/>
        </w:rPr>
        <w:t>דולר</w:t>
      </w:r>
      <w:r w:rsidRPr="00784679">
        <w:rPr>
          <w:rFonts w:hint="cs"/>
          <w:rtl/>
        </w:rPr>
        <w:t xml:space="preserve"> (</w:t>
      </w:r>
      <w:r w:rsidR="00D40116">
        <w:rPr>
          <w:rFonts w:hint="cs"/>
          <w:rtl/>
        </w:rPr>
        <w:t>59.3</w:t>
      </w:r>
      <w:r w:rsidRPr="00784679">
        <w:rPr>
          <w:rFonts w:hint="cs"/>
          <w:rtl/>
        </w:rPr>
        <w:t>%)</w:t>
      </w:r>
      <w:r w:rsidR="00D40116">
        <w:rPr>
          <w:rFonts w:hint="cs"/>
          <w:rtl/>
        </w:rPr>
        <w:t xml:space="preserve"> ו</w:t>
      </w:r>
      <w:r w:rsidR="00081945">
        <w:rPr>
          <w:rFonts w:hint="cs"/>
          <w:rtl/>
        </w:rPr>
        <w:t>של חברות מ</w:t>
      </w:r>
      <w:r w:rsidR="00D40116">
        <w:rPr>
          <w:rFonts w:hint="cs"/>
          <w:rtl/>
        </w:rPr>
        <w:t xml:space="preserve">ענף </w:t>
      </w:r>
      <w:r w:rsidR="00D40116" w:rsidRPr="00D40116">
        <w:rPr>
          <w:rtl/>
        </w:rPr>
        <w:t>ביטוח, קרנות פנסיה ופעילויות עזר אחרות</w:t>
      </w:r>
      <w:r w:rsidR="00B633D4">
        <w:rPr>
          <w:rFonts w:hint="cs"/>
          <w:rtl/>
        </w:rPr>
        <w:t xml:space="preserve"> </w:t>
      </w:r>
      <w:r w:rsidR="00055F5A">
        <w:rPr>
          <w:rFonts w:hint="cs"/>
          <w:rtl/>
        </w:rPr>
        <w:t>-</w:t>
      </w:r>
      <w:r w:rsidR="00D40116">
        <w:rPr>
          <w:rFonts w:hint="cs"/>
          <w:rtl/>
        </w:rPr>
        <w:t xml:space="preserve"> כ-1.9</w:t>
      </w:r>
      <w:r w:rsidR="00D40116" w:rsidRPr="00D40116">
        <w:rPr>
          <w:rFonts w:hint="cs"/>
          <w:rtl/>
        </w:rPr>
        <w:t xml:space="preserve"> </w:t>
      </w:r>
      <w:r w:rsidR="00D40116" w:rsidRPr="00784679">
        <w:rPr>
          <w:rFonts w:hint="cs"/>
          <w:rtl/>
        </w:rPr>
        <w:t>מיליארד דולר (</w:t>
      </w:r>
      <w:r w:rsidR="00D40116">
        <w:rPr>
          <w:rFonts w:hint="cs"/>
          <w:rtl/>
        </w:rPr>
        <w:t>30.7</w:t>
      </w:r>
      <w:r w:rsidR="00D40116" w:rsidRPr="00784679">
        <w:rPr>
          <w:rFonts w:hint="cs"/>
          <w:rtl/>
        </w:rPr>
        <w:t>%)</w:t>
      </w:r>
      <w:r w:rsidR="00D40116">
        <w:rPr>
          <w:rFonts w:hint="cs"/>
          <w:rtl/>
        </w:rPr>
        <w:t>.</w:t>
      </w:r>
    </w:p>
    <w:p w:rsidR="003F0837" w:rsidRPr="00784679" w:rsidRDefault="003F0837" w:rsidP="00EF2BD8">
      <w:pPr>
        <w:pStyle w:val="4"/>
        <w:spacing w:before="120"/>
        <w:rPr>
          <w:rtl/>
        </w:rPr>
      </w:pPr>
      <w:r>
        <w:rPr>
          <w:rFonts w:hint="cs"/>
          <w:rtl/>
        </w:rPr>
        <w:t>תנועות</w:t>
      </w:r>
      <w:r w:rsidRPr="00841072">
        <w:rPr>
          <w:rtl/>
        </w:rPr>
        <w:t xml:space="preserve"> </w:t>
      </w:r>
      <w:r>
        <w:rPr>
          <w:rFonts w:hint="cs"/>
          <w:rtl/>
        </w:rPr>
        <w:t>ב</w:t>
      </w:r>
      <w:r w:rsidRPr="00841072">
        <w:rPr>
          <w:rtl/>
        </w:rPr>
        <w:t xml:space="preserve">השקעות ישירות </w:t>
      </w:r>
      <w:r w:rsidR="00EF2BD8">
        <w:rPr>
          <w:rFonts w:hint="cs"/>
          <w:rtl/>
        </w:rPr>
        <w:t>יוצאות</w:t>
      </w:r>
      <w:r w:rsidRPr="00841072">
        <w:rPr>
          <w:rtl/>
        </w:rPr>
        <w:t xml:space="preserve"> לפי עוצמה טכנולוגית</w:t>
      </w:r>
      <w:r w:rsidRPr="00841072">
        <w:rPr>
          <w:rFonts w:hint="cs"/>
          <w:rtl/>
        </w:rPr>
        <w:t xml:space="preserve"> (לוח </w:t>
      </w:r>
      <w:r w:rsidR="00F467B4">
        <w:rPr>
          <w:rFonts w:hint="cs"/>
          <w:rtl/>
        </w:rPr>
        <w:t>14</w:t>
      </w:r>
      <w:r w:rsidRPr="00841072">
        <w:rPr>
          <w:rFonts w:hint="cs"/>
          <w:rtl/>
        </w:rPr>
        <w:t>)</w:t>
      </w:r>
    </w:p>
    <w:p w:rsidR="006A6423" w:rsidRPr="00784679" w:rsidRDefault="00667044" w:rsidP="00081945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 xml:space="preserve">בחלוקה </w:t>
      </w:r>
      <w:r w:rsidR="00081945">
        <w:rPr>
          <w:rFonts w:hint="cs"/>
          <w:rtl/>
        </w:rPr>
        <w:t xml:space="preserve">של המשקיעים הישראליים </w:t>
      </w:r>
      <w:r w:rsidRPr="00784679">
        <w:rPr>
          <w:rFonts w:hint="cs"/>
          <w:rtl/>
        </w:rPr>
        <w:t xml:space="preserve">לפי </w:t>
      </w:r>
      <w:r w:rsidR="000C4AB0" w:rsidRPr="00784679">
        <w:rPr>
          <w:rFonts w:hint="cs"/>
          <w:rtl/>
        </w:rPr>
        <w:t>עוצמה</w:t>
      </w:r>
      <w:r w:rsidRPr="00784679">
        <w:rPr>
          <w:rFonts w:hint="cs"/>
          <w:rtl/>
        </w:rPr>
        <w:t xml:space="preserve"> טכנולוגית בולט</w:t>
      </w:r>
      <w:r w:rsidR="006A6423">
        <w:rPr>
          <w:rFonts w:hint="cs"/>
          <w:rtl/>
        </w:rPr>
        <w:t>ות</w:t>
      </w:r>
      <w:r w:rsidR="005C22CC" w:rsidRPr="00784679">
        <w:rPr>
          <w:rFonts w:hint="cs"/>
          <w:rtl/>
        </w:rPr>
        <w:t xml:space="preserve"> </w:t>
      </w:r>
      <w:r w:rsidR="006A6423">
        <w:rPr>
          <w:rFonts w:hint="cs"/>
          <w:rtl/>
        </w:rPr>
        <w:t>השקעות</w:t>
      </w:r>
      <w:r w:rsidR="005C22CC" w:rsidRPr="00784679">
        <w:rPr>
          <w:rFonts w:hint="cs"/>
          <w:rtl/>
        </w:rPr>
        <w:t xml:space="preserve"> </w:t>
      </w:r>
      <w:r w:rsidR="00081945">
        <w:rPr>
          <w:rFonts w:hint="cs"/>
          <w:rtl/>
        </w:rPr>
        <w:t>של חברות</w:t>
      </w:r>
      <w:r w:rsidR="001D3803">
        <w:rPr>
          <w:rFonts w:hint="cs"/>
          <w:rtl/>
        </w:rPr>
        <w:t xml:space="preserve"> ישראליות</w:t>
      </w:r>
      <w:r w:rsidR="00081945">
        <w:rPr>
          <w:rFonts w:hint="cs"/>
          <w:rtl/>
        </w:rPr>
        <w:t xml:space="preserve"> מ</w:t>
      </w:r>
      <w:r w:rsidR="005C22CC" w:rsidRPr="00784679">
        <w:rPr>
          <w:rFonts w:hint="cs"/>
          <w:rtl/>
        </w:rPr>
        <w:t xml:space="preserve">תעשיית </w:t>
      </w:r>
      <w:r w:rsidR="001D3803">
        <w:rPr>
          <w:rFonts w:hint="cs"/>
          <w:rtl/>
        </w:rPr>
        <w:t>ה</w:t>
      </w:r>
      <w:r w:rsidR="005C22CC" w:rsidRPr="00784679">
        <w:rPr>
          <w:rFonts w:hint="cs"/>
          <w:rtl/>
        </w:rPr>
        <w:t xml:space="preserve">טכנולוגיה </w:t>
      </w:r>
      <w:r w:rsidR="001D3803">
        <w:rPr>
          <w:rFonts w:hint="cs"/>
          <w:rtl/>
        </w:rPr>
        <w:t>ה</w:t>
      </w:r>
      <w:r w:rsidR="005C22CC" w:rsidRPr="00784679">
        <w:rPr>
          <w:rFonts w:hint="cs"/>
          <w:rtl/>
        </w:rPr>
        <w:t>עילית</w:t>
      </w:r>
      <w:r w:rsidR="00017BE6" w:rsidRPr="00784679">
        <w:rPr>
          <w:rFonts w:hint="cs"/>
          <w:rtl/>
        </w:rPr>
        <w:t xml:space="preserve"> </w:t>
      </w:r>
      <w:r w:rsidR="00B633D4">
        <w:rPr>
          <w:rFonts w:hint="cs"/>
          <w:rtl/>
        </w:rPr>
        <w:t xml:space="preserve"> </w:t>
      </w:r>
      <w:r w:rsidR="00055F5A">
        <w:rPr>
          <w:rFonts w:hint="cs"/>
          <w:rtl/>
        </w:rPr>
        <w:t>-</w:t>
      </w:r>
      <w:r w:rsidR="00B44F3B" w:rsidRPr="00784679">
        <w:rPr>
          <w:rFonts w:hint="cs"/>
          <w:rtl/>
        </w:rPr>
        <w:t xml:space="preserve"> </w:t>
      </w:r>
      <w:r w:rsidR="0060224C">
        <w:rPr>
          <w:rFonts w:hint="cs"/>
          <w:rtl/>
        </w:rPr>
        <w:t>2</w:t>
      </w:r>
      <w:r w:rsidR="00B468DA" w:rsidRPr="00784679">
        <w:rPr>
          <w:rFonts w:hint="cs"/>
          <w:rtl/>
        </w:rPr>
        <w:t>.8</w:t>
      </w:r>
      <w:r w:rsidR="00017BE6" w:rsidRPr="00784679">
        <w:rPr>
          <w:rFonts w:hint="cs"/>
          <w:rtl/>
        </w:rPr>
        <w:t xml:space="preserve"> </w:t>
      </w:r>
      <w:r w:rsidR="00B44F3B" w:rsidRPr="00784679">
        <w:rPr>
          <w:rFonts w:hint="cs"/>
          <w:rtl/>
        </w:rPr>
        <w:t xml:space="preserve">מיליארד </w:t>
      </w:r>
      <w:r w:rsidR="00B35AA3" w:rsidRPr="00784679">
        <w:rPr>
          <w:rFonts w:hint="cs"/>
          <w:rtl/>
        </w:rPr>
        <w:t>דולר</w:t>
      </w:r>
      <w:r w:rsidR="004A723F" w:rsidRPr="00784679">
        <w:rPr>
          <w:rFonts w:hint="cs"/>
          <w:rtl/>
        </w:rPr>
        <w:t xml:space="preserve"> (</w:t>
      </w:r>
      <w:r w:rsidR="0060224C">
        <w:rPr>
          <w:rFonts w:hint="cs"/>
          <w:rtl/>
        </w:rPr>
        <w:t>44.7</w:t>
      </w:r>
      <w:r w:rsidR="004A723F" w:rsidRPr="00784679">
        <w:rPr>
          <w:rFonts w:hint="cs"/>
          <w:rtl/>
        </w:rPr>
        <w:t>% מסך התנועה</w:t>
      </w:r>
      <w:r w:rsidR="00287A1F">
        <w:rPr>
          <w:rFonts w:hint="cs"/>
          <w:rtl/>
        </w:rPr>
        <w:t xml:space="preserve"> נטו</w:t>
      </w:r>
      <w:r w:rsidR="004A723F" w:rsidRPr="00784679">
        <w:rPr>
          <w:rFonts w:hint="cs"/>
          <w:rtl/>
        </w:rPr>
        <w:t>)</w:t>
      </w:r>
      <w:r w:rsidR="006A6423" w:rsidRPr="006A6423">
        <w:rPr>
          <w:rtl/>
        </w:rPr>
        <w:t xml:space="preserve"> </w:t>
      </w:r>
      <w:r w:rsidR="006A6423">
        <w:rPr>
          <w:rFonts w:hint="cs"/>
          <w:rtl/>
        </w:rPr>
        <w:t>ו</w:t>
      </w:r>
      <w:r w:rsidR="00081945">
        <w:rPr>
          <w:rFonts w:hint="cs"/>
          <w:rtl/>
        </w:rPr>
        <w:t>מ</w:t>
      </w:r>
      <w:r w:rsidR="006A6423">
        <w:rPr>
          <w:rtl/>
        </w:rPr>
        <w:t>תעשי</w:t>
      </w:r>
      <w:r w:rsidR="006A6423">
        <w:rPr>
          <w:rFonts w:hint="cs"/>
          <w:rtl/>
        </w:rPr>
        <w:t>י</w:t>
      </w:r>
      <w:r w:rsidR="006A6423" w:rsidRPr="006A6423">
        <w:rPr>
          <w:rtl/>
        </w:rPr>
        <w:t xml:space="preserve">ת </w:t>
      </w:r>
      <w:r w:rsidR="001D3803">
        <w:rPr>
          <w:rFonts w:hint="cs"/>
          <w:rtl/>
        </w:rPr>
        <w:t>ה</w:t>
      </w:r>
      <w:r w:rsidR="006A6423" w:rsidRPr="006A6423">
        <w:rPr>
          <w:rtl/>
        </w:rPr>
        <w:t xml:space="preserve">טכנולוגיה </w:t>
      </w:r>
      <w:r w:rsidR="001D3803">
        <w:rPr>
          <w:rFonts w:hint="cs"/>
          <w:rtl/>
        </w:rPr>
        <w:t>ה</w:t>
      </w:r>
      <w:r w:rsidR="006A6423" w:rsidRPr="006A6423">
        <w:rPr>
          <w:rtl/>
        </w:rPr>
        <w:t xml:space="preserve">מעורבת עילית </w:t>
      </w:r>
      <w:r w:rsidR="00055F5A">
        <w:rPr>
          <w:rtl/>
        </w:rPr>
        <w:t>-</w:t>
      </w:r>
      <w:r w:rsidR="006A6423" w:rsidRPr="00784679">
        <w:rPr>
          <w:rFonts w:hint="cs"/>
          <w:rtl/>
        </w:rPr>
        <w:t xml:space="preserve"> </w:t>
      </w:r>
      <w:r w:rsidR="006A6423">
        <w:rPr>
          <w:rFonts w:hint="cs"/>
          <w:rtl/>
        </w:rPr>
        <w:t>1.2</w:t>
      </w:r>
      <w:r w:rsidR="006A6423" w:rsidRPr="00784679">
        <w:rPr>
          <w:rFonts w:hint="cs"/>
          <w:rtl/>
        </w:rPr>
        <w:t xml:space="preserve"> מיליארד דולר (</w:t>
      </w:r>
      <w:r w:rsidR="006A6423">
        <w:rPr>
          <w:rFonts w:hint="cs"/>
          <w:rtl/>
        </w:rPr>
        <w:t>19.9</w:t>
      </w:r>
      <w:r w:rsidR="006A6423" w:rsidRPr="00784679">
        <w:rPr>
          <w:rFonts w:hint="cs"/>
          <w:rtl/>
        </w:rPr>
        <w:t>% מסך התנועה</w:t>
      </w:r>
      <w:r w:rsidR="006A6423">
        <w:rPr>
          <w:rFonts w:hint="cs"/>
          <w:rtl/>
        </w:rPr>
        <w:t xml:space="preserve"> נטו</w:t>
      </w:r>
      <w:r w:rsidR="006A6423" w:rsidRPr="00784679">
        <w:rPr>
          <w:rFonts w:hint="cs"/>
          <w:rtl/>
        </w:rPr>
        <w:t>)</w:t>
      </w:r>
      <w:r w:rsidR="006A6423">
        <w:rPr>
          <w:rFonts w:hint="cs"/>
          <w:rtl/>
        </w:rPr>
        <w:t>.</w:t>
      </w:r>
    </w:p>
    <w:p w:rsidR="00A5444C" w:rsidRPr="003F0837" w:rsidRDefault="00222B1B" w:rsidP="00281655">
      <w:pPr>
        <w:pStyle w:val="4"/>
        <w:spacing w:before="120"/>
        <w:rPr>
          <w:rtl/>
        </w:rPr>
      </w:pPr>
      <w:r w:rsidRPr="003F0837">
        <w:rPr>
          <w:rFonts w:hint="cs"/>
          <w:rtl/>
        </w:rPr>
        <w:t xml:space="preserve">תנועות </w:t>
      </w:r>
      <w:r w:rsidR="00383C1E" w:rsidRPr="003F0837">
        <w:rPr>
          <w:rFonts w:hint="cs"/>
          <w:rtl/>
        </w:rPr>
        <w:t>ב</w:t>
      </w:r>
      <w:r w:rsidR="00F96110" w:rsidRPr="003F0837">
        <w:rPr>
          <w:rFonts w:hint="cs"/>
          <w:rtl/>
        </w:rPr>
        <w:t xml:space="preserve">השקעות ישירות </w:t>
      </w:r>
      <w:r w:rsidR="00EF2BD8">
        <w:rPr>
          <w:rFonts w:hint="cs"/>
          <w:rtl/>
        </w:rPr>
        <w:t xml:space="preserve">יוצאות </w:t>
      </w:r>
      <w:r w:rsidR="00F96110" w:rsidRPr="003F0837">
        <w:rPr>
          <w:rFonts w:hint="cs"/>
          <w:rtl/>
        </w:rPr>
        <w:t xml:space="preserve">לפי מדינות </w:t>
      </w:r>
      <w:r w:rsidR="00CE2B88" w:rsidRPr="003F0837">
        <w:rPr>
          <w:rFonts w:hint="cs"/>
          <w:rtl/>
        </w:rPr>
        <w:t xml:space="preserve">(לוח </w:t>
      </w:r>
      <w:r w:rsidR="003D15B0" w:rsidRPr="003F0837">
        <w:rPr>
          <w:rFonts w:hint="cs"/>
          <w:rtl/>
        </w:rPr>
        <w:t>13</w:t>
      </w:r>
      <w:r w:rsidR="00CE2B88" w:rsidRPr="003F0837">
        <w:rPr>
          <w:rFonts w:hint="cs"/>
          <w:rtl/>
        </w:rPr>
        <w:t>)</w:t>
      </w:r>
    </w:p>
    <w:p w:rsidR="00A5444C" w:rsidRPr="00784679" w:rsidRDefault="00667044" w:rsidP="006F71C7">
      <w:pPr>
        <w:pStyle w:val="BodyText2"/>
        <w:spacing w:line="360" w:lineRule="auto"/>
        <w:jc w:val="left"/>
        <w:rPr>
          <w:rtl/>
        </w:rPr>
      </w:pPr>
      <w:r w:rsidRPr="00784679">
        <w:rPr>
          <w:rFonts w:hint="cs"/>
          <w:rtl/>
        </w:rPr>
        <w:t>ב</w:t>
      </w:r>
      <w:r w:rsidR="00F73753">
        <w:rPr>
          <w:rFonts w:hint="cs"/>
          <w:rtl/>
        </w:rPr>
        <w:t>ין ה</w:t>
      </w:r>
      <w:r w:rsidRPr="00784679">
        <w:rPr>
          <w:rFonts w:hint="cs"/>
          <w:rtl/>
        </w:rPr>
        <w:t xml:space="preserve">תנועות </w:t>
      </w:r>
      <w:r w:rsidR="00F73753">
        <w:rPr>
          <w:rFonts w:hint="cs"/>
          <w:rtl/>
        </w:rPr>
        <w:t>ב</w:t>
      </w:r>
      <w:r w:rsidRPr="00784679">
        <w:rPr>
          <w:rFonts w:hint="cs"/>
          <w:rtl/>
        </w:rPr>
        <w:t xml:space="preserve">השקעה </w:t>
      </w:r>
      <w:r w:rsidR="00F30654" w:rsidRPr="00784679">
        <w:rPr>
          <w:rFonts w:hint="cs"/>
          <w:rtl/>
        </w:rPr>
        <w:t>ה</w:t>
      </w:r>
      <w:r w:rsidRPr="00784679">
        <w:rPr>
          <w:rFonts w:hint="cs"/>
          <w:rtl/>
        </w:rPr>
        <w:t xml:space="preserve">ישירה </w:t>
      </w:r>
      <w:r w:rsidR="002772FD" w:rsidRPr="00784679">
        <w:rPr>
          <w:rFonts w:hint="cs"/>
          <w:rtl/>
        </w:rPr>
        <w:t xml:space="preserve">בשנת </w:t>
      </w:r>
      <w:r w:rsidR="00D01DBF" w:rsidRPr="00784679">
        <w:rPr>
          <w:rFonts w:hint="cs"/>
          <w:rtl/>
        </w:rPr>
        <w:t>201</w:t>
      </w:r>
      <w:r w:rsidR="00287A1F">
        <w:rPr>
          <w:rFonts w:hint="cs"/>
          <w:rtl/>
        </w:rPr>
        <w:t>7</w:t>
      </w:r>
      <w:r w:rsidR="005058A5" w:rsidRPr="00784679">
        <w:rPr>
          <w:rFonts w:hint="cs"/>
          <w:rtl/>
        </w:rPr>
        <w:t>,</w:t>
      </w:r>
      <w:r w:rsidR="002772FD" w:rsidRPr="00784679">
        <w:rPr>
          <w:rFonts w:hint="cs"/>
          <w:rtl/>
        </w:rPr>
        <w:t xml:space="preserve"> </w:t>
      </w:r>
      <w:r w:rsidR="00174BA9" w:rsidRPr="00784679">
        <w:rPr>
          <w:rFonts w:hint="cs"/>
          <w:rtl/>
        </w:rPr>
        <w:t>בולטות ההשקעות</w:t>
      </w:r>
      <w:r w:rsidR="002772FD" w:rsidRPr="00784679">
        <w:rPr>
          <w:rFonts w:hint="cs"/>
          <w:rtl/>
        </w:rPr>
        <w:t xml:space="preserve"> </w:t>
      </w:r>
      <w:r w:rsidR="00B74213">
        <w:rPr>
          <w:rFonts w:hint="cs"/>
          <w:rtl/>
        </w:rPr>
        <w:t>ב</w:t>
      </w:r>
      <w:r w:rsidR="002772FD" w:rsidRPr="00784679">
        <w:rPr>
          <w:rFonts w:hint="cs"/>
          <w:rtl/>
        </w:rPr>
        <w:t>הולנד</w:t>
      </w:r>
      <w:r w:rsidR="00287A1F">
        <w:rPr>
          <w:rFonts w:hint="cs"/>
          <w:rtl/>
        </w:rPr>
        <w:t>,</w:t>
      </w:r>
      <w:r w:rsidR="00835145" w:rsidRPr="00784679">
        <w:rPr>
          <w:rFonts w:hint="cs"/>
          <w:rtl/>
        </w:rPr>
        <w:t xml:space="preserve"> </w:t>
      </w:r>
      <w:r w:rsidR="00B633D4">
        <w:rPr>
          <w:rFonts w:hint="cs"/>
          <w:rtl/>
        </w:rPr>
        <w:t>ב</w:t>
      </w:r>
      <w:r w:rsidR="00287A1F">
        <w:rPr>
          <w:rFonts w:hint="cs"/>
          <w:rtl/>
        </w:rPr>
        <w:t>ג'ר</w:t>
      </w:r>
      <w:r w:rsidR="006F71C7">
        <w:rPr>
          <w:rFonts w:hint="cs"/>
          <w:rtl/>
        </w:rPr>
        <w:t>ז</w:t>
      </w:r>
      <w:r w:rsidR="00287A1F">
        <w:rPr>
          <w:rFonts w:hint="cs"/>
          <w:rtl/>
        </w:rPr>
        <w:t>י ו</w:t>
      </w:r>
      <w:r w:rsidR="00B633D4">
        <w:rPr>
          <w:rFonts w:hint="cs"/>
          <w:rtl/>
        </w:rPr>
        <w:t>ב</w:t>
      </w:r>
      <w:r w:rsidR="00287A1F">
        <w:rPr>
          <w:rFonts w:hint="cs"/>
          <w:rtl/>
        </w:rPr>
        <w:t>קנדה</w:t>
      </w:r>
      <w:r w:rsidR="00835145" w:rsidRPr="00784679">
        <w:rPr>
          <w:rFonts w:hint="cs"/>
          <w:rtl/>
        </w:rPr>
        <w:t xml:space="preserve"> (</w:t>
      </w:r>
      <w:r w:rsidR="00287A1F">
        <w:rPr>
          <w:rFonts w:hint="cs"/>
          <w:rtl/>
        </w:rPr>
        <w:t>55.8</w:t>
      </w:r>
      <w:r w:rsidR="00835145" w:rsidRPr="00784679">
        <w:rPr>
          <w:rFonts w:hint="cs"/>
          <w:rtl/>
        </w:rPr>
        <w:t xml:space="preserve">% </w:t>
      </w:r>
      <w:r w:rsidR="00287A1F">
        <w:rPr>
          <w:rFonts w:hint="cs"/>
          <w:rtl/>
        </w:rPr>
        <w:t>, 7.4%, ו-5.1%</w:t>
      </w:r>
      <w:r w:rsidR="005F38BA">
        <w:rPr>
          <w:rFonts w:hint="cs"/>
          <w:rtl/>
        </w:rPr>
        <w:t>,</w:t>
      </w:r>
      <w:r w:rsidR="00287A1F">
        <w:rPr>
          <w:rFonts w:hint="cs"/>
          <w:rtl/>
        </w:rPr>
        <w:t xml:space="preserve"> </w:t>
      </w:r>
      <w:r w:rsidR="00835145" w:rsidRPr="00784679">
        <w:rPr>
          <w:rFonts w:hint="cs"/>
          <w:rtl/>
        </w:rPr>
        <w:t>בהתאמה מסך תנועות ההשקעות היוצאות)</w:t>
      </w:r>
      <w:r w:rsidR="00174BA9" w:rsidRPr="00784679">
        <w:rPr>
          <w:rFonts w:hint="cs"/>
          <w:rtl/>
        </w:rPr>
        <w:t>.</w:t>
      </w:r>
    </w:p>
    <w:sectPr w:rsidR="00A5444C" w:rsidRPr="00784679" w:rsidSect="00B66E8F"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748" w:bottom="1134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3E" w:rsidRDefault="00C56E3E">
      <w:r>
        <w:separator/>
      </w:r>
    </w:p>
  </w:endnote>
  <w:endnote w:type="continuationSeparator" w:id="0">
    <w:p w:rsidR="00C56E3E" w:rsidRDefault="00C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E" w:rsidRDefault="00383C1E" w:rsidP="003C2DF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83C1E" w:rsidRDefault="00383C1E" w:rsidP="00F211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hAnsiTheme="minorBidi" w:cstheme="minorBidi"/>
        <w:szCs w:val="24"/>
        <w:rtl/>
      </w:rPr>
      <w:id w:val="-1360195838"/>
      <w:docPartObj>
        <w:docPartGallery w:val="Page Numbers (Bottom of Page)"/>
        <w:docPartUnique/>
      </w:docPartObj>
    </w:sdtPr>
    <w:sdtEndPr/>
    <w:sdtContent>
      <w:p w:rsidR="00383C1E" w:rsidRPr="0065235D" w:rsidRDefault="00383C1E" w:rsidP="00B66E8F">
        <w:pPr>
          <w:pStyle w:val="Footer"/>
          <w:jc w:val="right"/>
          <w:rPr>
            <w:rFonts w:asciiTheme="minorBidi" w:hAnsiTheme="minorBidi" w:cstheme="minorBidi"/>
            <w:szCs w:val="24"/>
          </w:rPr>
        </w:pPr>
        <w:r w:rsidRPr="0065235D">
          <w:rPr>
            <w:rFonts w:asciiTheme="minorBidi" w:hAnsiTheme="minorBidi" w:cstheme="minorBidi"/>
            <w:szCs w:val="24"/>
          </w:rPr>
          <w:fldChar w:fldCharType="begin"/>
        </w:r>
        <w:r w:rsidRPr="0065235D">
          <w:rPr>
            <w:rFonts w:asciiTheme="minorBidi" w:hAnsiTheme="minorBidi" w:cstheme="minorBidi"/>
            <w:szCs w:val="24"/>
          </w:rPr>
          <w:instrText xml:space="preserve"> PAGE   \* MERGEFORMAT </w:instrText>
        </w:r>
        <w:r w:rsidRPr="0065235D">
          <w:rPr>
            <w:rFonts w:asciiTheme="minorBidi" w:hAnsiTheme="minorBidi" w:cstheme="minorBidi"/>
            <w:szCs w:val="24"/>
          </w:rPr>
          <w:fldChar w:fldCharType="separate"/>
        </w:r>
        <w:r w:rsidR="00BD6FCB">
          <w:rPr>
            <w:rFonts w:asciiTheme="minorBidi" w:hAnsiTheme="minorBidi" w:cstheme="minorBidi"/>
            <w:noProof/>
            <w:szCs w:val="24"/>
            <w:rtl/>
          </w:rPr>
          <w:t>8</w:t>
        </w:r>
        <w:r w:rsidRPr="0065235D">
          <w:rPr>
            <w:rFonts w:asciiTheme="minorBidi" w:hAnsiTheme="minorBidi" w:cstheme="minorBidi"/>
            <w:noProof/>
            <w:szCs w:val="24"/>
          </w:rPr>
          <w:fldChar w:fldCharType="end"/>
        </w:r>
      </w:p>
    </w:sdtContent>
  </w:sdt>
  <w:p w:rsidR="00383C1E" w:rsidRPr="00576FA7" w:rsidRDefault="00383C1E" w:rsidP="00CB1A74">
    <w:pPr>
      <w:pStyle w:val="Footer"/>
      <w:ind w:right="360"/>
      <w:rPr>
        <w:rFonts w:asciiTheme="minorBidi" w:hAnsiTheme="minorBidi" w:cstheme="minorBidi"/>
        <w:szCs w:val="24"/>
        <w:rtl/>
      </w:rPr>
    </w:pPr>
    <w:r w:rsidRPr="00576FA7">
      <w:rPr>
        <w:rFonts w:asciiTheme="minorBidi" w:hAnsiTheme="minorBidi" w:cstheme="minorBidi"/>
        <w:szCs w:val="24"/>
        <w:rtl/>
      </w:rPr>
      <w:t xml:space="preserve">השקעות </w:t>
    </w:r>
    <w:r w:rsidRPr="00576FA7">
      <w:rPr>
        <w:rFonts w:ascii="Arial" w:hAnsi="Arial" w:cs="Arial"/>
        <w:szCs w:val="24"/>
        <w:rtl/>
      </w:rPr>
      <w:t>ישירות</w:t>
    </w:r>
    <w:r w:rsidRPr="00576FA7">
      <w:rPr>
        <w:rFonts w:asciiTheme="minorBidi" w:hAnsiTheme="minorBidi" w:cstheme="minorBidi"/>
        <w:szCs w:val="24"/>
        <w:rtl/>
      </w:rPr>
      <w:t xml:space="preserve"> של ישראל בחו"ל ושל חו"ל בישראל, לפי ענפי כלכלה ולפי מדינות: </w:t>
    </w:r>
    <w:r w:rsidRPr="00576FA7">
      <w:rPr>
        <w:rFonts w:asciiTheme="minorBidi" w:hAnsiTheme="minorBidi" w:cstheme="minorBidi" w:hint="cs"/>
        <w:szCs w:val="24"/>
        <w:rtl/>
      </w:rPr>
      <w:t>2017-2015</w:t>
    </w:r>
    <w:r w:rsidRPr="00576FA7">
      <w:rPr>
        <w:rFonts w:asciiTheme="minorBidi" w:hAnsiTheme="minorBidi" w:cstheme="minorBidi"/>
        <w:szCs w:val="24"/>
        <w:rtl/>
      </w:rPr>
      <w:t xml:space="preserve"> </w:t>
    </w:r>
    <w:r w:rsidRPr="00576FA7">
      <w:rPr>
        <w:rFonts w:asciiTheme="minorBidi" w:hAnsiTheme="minorBidi" w:cstheme="minorBidi" w:hint="cs"/>
        <w:szCs w:val="24"/>
        <w:rtl/>
      </w:rPr>
      <w:br/>
    </w:r>
    <w:r w:rsidR="00CB1A74">
      <w:rPr>
        <w:rFonts w:asciiTheme="minorBidi" w:hAnsiTheme="minorBidi" w:cstheme="minorBidi"/>
        <w:szCs w:val="24"/>
      </w:rPr>
      <w:t>07/04/2019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E" w:rsidRPr="007D0EE7" w:rsidRDefault="00383C1E" w:rsidP="007028F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Bidi" w:hAnsiTheme="minorBidi" w:cstheme="minorBidi"/>
        <w:szCs w:val="24"/>
        <w:rtl/>
      </w:rPr>
    </w:pPr>
    <w:r w:rsidRPr="007D0EE7">
      <w:rPr>
        <w:rFonts w:asciiTheme="minorBidi" w:hAnsiTheme="minorBidi" w:cstheme="minorBidi"/>
        <w:szCs w:val="24"/>
        <w:rtl/>
      </w:rPr>
      <w:t xml:space="preserve">כתבה: </w:t>
    </w:r>
    <w:r>
      <w:rPr>
        <w:rFonts w:asciiTheme="minorBidi" w:hAnsiTheme="minorBidi" w:cstheme="minorBidi" w:hint="cs"/>
        <w:szCs w:val="24"/>
        <w:rtl/>
      </w:rPr>
      <w:t xml:space="preserve">חנה </w:t>
    </w:r>
    <w:proofErr w:type="spellStart"/>
    <w:r>
      <w:rPr>
        <w:rFonts w:asciiTheme="minorBidi" w:hAnsiTheme="minorBidi" w:cstheme="minorBidi" w:hint="cs"/>
        <w:szCs w:val="24"/>
        <w:rtl/>
      </w:rPr>
      <w:t>קולומייץ</w:t>
    </w:r>
    <w:proofErr w:type="spellEnd"/>
    <w:r w:rsidRPr="007D0EE7">
      <w:rPr>
        <w:rFonts w:asciiTheme="minorBidi" w:hAnsiTheme="minorBidi" w:cstheme="minorBidi"/>
        <w:szCs w:val="24"/>
        <w:rtl/>
      </w:rPr>
      <w:t>, תחום מאזן תשלומים</w:t>
    </w:r>
  </w:p>
  <w:p w:rsidR="00383C1E" w:rsidRPr="007D0EE7" w:rsidRDefault="00383C1E" w:rsidP="007D0EE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Bidi" w:hAnsiTheme="minorBidi" w:cstheme="minorBidi"/>
        <w:szCs w:val="24"/>
      </w:rPr>
    </w:pPr>
    <w:r w:rsidRPr="007D0EE7">
      <w:rPr>
        <w:rFonts w:asciiTheme="minorBidi" w:hAnsiTheme="minorBidi" w:cstheme="minorBidi"/>
        <w:szCs w:val="24"/>
        <w:rtl/>
      </w:rPr>
      <w:t xml:space="preserve"> לקבלת הסברים ניתן לפנות אל יחידת המידע בטל' 02-6527845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3E" w:rsidRDefault="00C56E3E">
      <w:r>
        <w:separator/>
      </w:r>
    </w:p>
  </w:footnote>
  <w:footnote w:type="continuationSeparator" w:id="0">
    <w:p w:rsidR="00C56E3E" w:rsidRDefault="00C56E3E">
      <w:r>
        <w:continuationSeparator/>
      </w:r>
    </w:p>
  </w:footnote>
  <w:footnote w:id="1">
    <w:p w:rsidR="00383C1E" w:rsidRPr="006C5231" w:rsidRDefault="00383C1E" w:rsidP="00A334E2">
      <w:pPr>
        <w:ind w:left="170" w:hanging="170"/>
        <w:rPr>
          <w:rFonts w:ascii="Arial" w:hAnsi="Arial" w:cs="Arial"/>
          <w:rtl/>
        </w:rPr>
      </w:pPr>
      <w:r w:rsidRPr="0051298A">
        <w:rPr>
          <w:rFonts w:ascii="Arial" w:hAnsi="Arial" w:cs="Arial"/>
          <w:vertAlign w:val="superscript"/>
        </w:rPr>
        <w:footnoteRef/>
      </w:r>
      <w:r w:rsidRPr="006C5231">
        <w:rPr>
          <w:rFonts w:ascii="Arial" w:hAnsi="Arial" w:cs="Arial"/>
          <w:rtl/>
        </w:rPr>
        <w:t xml:space="preserve"> </w:t>
      </w:r>
      <w:r w:rsidRPr="00C92718">
        <w:rPr>
          <w:rFonts w:ascii="Arial" w:hAnsi="Arial" w:cs="Arial"/>
          <w:spacing w:val="-4"/>
          <w:rtl/>
        </w:rPr>
        <w:t>ההתפלגות הגאוגרפית מתייחסת למדינה אשר ממנה או אליה מגיעות ההשקעות (</w:t>
      </w:r>
      <w:r w:rsidRPr="00C92718">
        <w:rPr>
          <w:rFonts w:ascii="Arial" w:hAnsi="Arial" w:cs="Arial"/>
          <w:spacing w:val="-4"/>
        </w:rPr>
        <w:t>Immediate Investing</w:t>
      </w:r>
      <w:r w:rsidRPr="006C5231">
        <w:rPr>
          <w:rFonts w:ascii="Arial" w:hAnsi="Arial" w:cs="Arial"/>
        </w:rPr>
        <w:t xml:space="preserve"> Country</w:t>
      </w:r>
      <w:r w:rsidRPr="006C5231">
        <w:rPr>
          <w:rFonts w:ascii="Arial" w:hAnsi="Arial" w:cs="Arial"/>
          <w:rtl/>
        </w:rPr>
        <w:t>) ולא למדינה של המשקיע הסופי (</w:t>
      </w:r>
      <w:r w:rsidRPr="006C5231">
        <w:rPr>
          <w:rFonts w:ascii="Arial" w:hAnsi="Arial" w:cs="Arial"/>
        </w:rPr>
        <w:t xml:space="preserve">Ultimate Investing </w:t>
      </w:r>
      <w:r>
        <w:rPr>
          <w:rFonts w:ascii="Arial" w:hAnsi="Arial" w:cs="Arial"/>
        </w:rPr>
        <w:t>C</w:t>
      </w:r>
      <w:r w:rsidRPr="006C5231">
        <w:rPr>
          <w:rFonts w:ascii="Arial" w:hAnsi="Arial" w:cs="Arial"/>
        </w:rPr>
        <w:t>ountry</w:t>
      </w:r>
      <w:r w:rsidRPr="006C5231">
        <w:rPr>
          <w:rFonts w:ascii="Arial" w:hAnsi="Arial" w:cs="Arial"/>
          <w:rtl/>
        </w:rPr>
        <w:t>)</w:t>
      </w:r>
      <w:r>
        <w:rPr>
          <w:rFonts w:ascii="Arial" w:hAnsi="Arial" w:cs="Arial" w:hint="cs"/>
          <w:rtl/>
        </w:rPr>
        <w:t>.</w:t>
      </w:r>
    </w:p>
  </w:footnote>
  <w:footnote w:id="2">
    <w:p w:rsidR="00383C1E" w:rsidRPr="006C5231" w:rsidRDefault="00383C1E" w:rsidP="00C92718">
      <w:pPr>
        <w:spacing w:after="60"/>
        <w:ind w:left="170" w:hanging="170"/>
        <w:rPr>
          <w:rFonts w:ascii="Arial" w:hAnsi="Arial" w:cs="Arial"/>
          <w:rtl/>
        </w:rPr>
      </w:pPr>
      <w:r w:rsidRPr="006C5231">
        <w:rPr>
          <w:rStyle w:val="FootnoteReference"/>
          <w:rFonts w:ascii="Arial" w:hAnsi="Arial" w:cs="Arial"/>
        </w:rPr>
        <w:footnoteRef/>
      </w:r>
      <w:r w:rsidRPr="006C5231">
        <w:rPr>
          <w:rFonts w:ascii="Arial" w:hAnsi="Arial" w:cs="Arial"/>
          <w:rtl/>
        </w:rPr>
        <w:t xml:space="preserve"> שינוי היתרות משנה לשנה מורכב, בנוסף לתנועות, גם מהפרשי שער, משערוכים ומהתאמות אחרות.</w:t>
      </w:r>
    </w:p>
  </w:footnote>
  <w:footnote w:id="3">
    <w:p w:rsidR="005F6462" w:rsidRPr="00EF2BD8" w:rsidRDefault="005F6462" w:rsidP="00A334E2">
      <w:pPr>
        <w:pStyle w:val="FootnoteText"/>
        <w:ind w:left="170" w:hanging="170"/>
        <w:rPr>
          <w:rFonts w:asciiTheme="minorBidi" w:hAnsiTheme="minorBidi" w:cstheme="minorBidi"/>
          <w:sz w:val="24"/>
          <w:szCs w:val="24"/>
        </w:rPr>
      </w:pPr>
      <w:r w:rsidRPr="00EF2BD8">
        <w:footnoteRef/>
      </w:r>
      <w:r w:rsidRPr="00EF2BD8">
        <w:rPr>
          <w:rFonts w:asciiTheme="minorBidi" w:hAnsiTheme="minorBidi" w:cstheme="minorBidi"/>
          <w:sz w:val="24"/>
          <w:szCs w:val="24"/>
          <w:rtl/>
        </w:rPr>
        <w:t xml:space="preserve"> בשל התפתחות של תעשיות עתירות ידע, נקבע, בהתאם לתקנים בין-לאומיים כי ענפי התעשייה יסווגו לפי עוצמה טכנולוגית לארבע קבוצות טכנולוגיה: טכנולוגיה מסורתית, טכנולוגיה מעורבת-מסורתית, טכנולוגיה מעורבת-עילית וטכנולוגיה עילית. הסיווג נקבע בעיקר על פי ההוצאה למחקר ופיתוח מתוך סך התפוקה בענפים.</w:t>
      </w:r>
    </w:p>
  </w:footnote>
  <w:footnote w:id="4">
    <w:p w:rsidR="00B65E13" w:rsidRPr="00EF2BD8" w:rsidRDefault="00B65E13" w:rsidP="00717B59">
      <w:pPr>
        <w:pStyle w:val="FootnoteText"/>
        <w:ind w:left="170" w:hanging="170"/>
        <w:rPr>
          <w:rFonts w:asciiTheme="minorBidi" w:hAnsiTheme="minorBidi" w:cstheme="minorBidi"/>
          <w:rtl/>
        </w:rPr>
      </w:pPr>
      <w:r w:rsidRPr="00EF2BD8">
        <w:rPr>
          <w:rFonts w:asciiTheme="minorBidi" w:hAnsiTheme="minorBidi" w:cstheme="minorBidi"/>
        </w:rPr>
        <w:footnoteRef/>
      </w:r>
      <w:r w:rsidRPr="00EF2BD8">
        <w:rPr>
          <w:rFonts w:asciiTheme="minorBidi" w:hAnsiTheme="minorBidi" w:cstheme="minorBidi"/>
          <w:rtl/>
        </w:rPr>
        <w:t xml:space="preserve"> </w:t>
      </w:r>
      <w:r w:rsidRPr="00EF2BD8">
        <w:rPr>
          <w:rFonts w:asciiTheme="minorBidi" w:hAnsiTheme="minorBidi" w:cstheme="minorBidi"/>
          <w:sz w:val="24"/>
          <w:szCs w:val="24"/>
          <w:rtl/>
        </w:rPr>
        <w:t xml:space="preserve">כולל את ענפי הכלכלה: 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שירותי תקשורת (</w:t>
      </w:r>
      <w:r w:rsidRPr="00EF2BD8">
        <w:rPr>
          <w:rFonts w:asciiTheme="minorBidi" w:hAnsiTheme="minorBidi" w:cstheme="minorBidi"/>
          <w:sz w:val="24"/>
          <w:szCs w:val="24"/>
          <w:rtl/>
        </w:rPr>
        <w:t>61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)</w:t>
      </w:r>
      <w:r w:rsidRPr="00EF2BD8">
        <w:rPr>
          <w:rFonts w:asciiTheme="minorBidi" w:hAnsiTheme="minorBidi" w:cstheme="minorBidi"/>
          <w:sz w:val="24"/>
          <w:szCs w:val="24"/>
          <w:rtl/>
        </w:rPr>
        <w:t>,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 xml:space="preserve"> תכנות מחשבים, ייעוץ בתחום המחשבים ושירותים נלווים אחרים</w:t>
      </w:r>
      <w:r w:rsidRPr="00EF2BD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(</w:t>
      </w:r>
      <w:r w:rsidRPr="00EF2BD8">
        <w:rPr>
          <w:rFonts w:asciiTheme="minorBidi" w:hAnsiTheme="minorBidi" w:cstheme="minorBidi"/>
          <w:sz w:val="24"/>
          <w:szCs w:val="24"/>
          <w:rtl/>
        </w:rPr>
        <w:t>62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)</w:t>
      </w:r>
      <w:r w:rsidRPr="00EF2BD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עיבוד נתונים, אחסון ושירותים נלווים; אתרי שער לאינטרנט (</w:t>
      </w:r>
      <w:r w:rsidRPr="00EF2BD8">
        <w:rPr>
          <w:rFonts w:asciiTheme="minorBidi" w:hAnsiTheme="minorBidi" w:cstheme="minorBidi"/>
          <w:sz w:val="24"/>
          <w:szCs w:val="24"/>
          <w:rtl/>
        </w:rPr>
        <w:t>631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)</w:t>
      </w:r>
      <w:r w:rsidRPr="00EF2BD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מרכזי מחקר ופיתוח (</w:t>
      </w:r>
      <w:r w:rsidRPr="00EF2BD8">
        <w:rPr>
          <w:rFonts w:asciiTheme="minorBidi" w:hAnsiTheme="minorBidi" w:cstheme="minorBidi"/>
          <w:sz w:val="24"/>
          <w:szCs w:val="24"/>
          <w:rtl/>
        </w:rPr>
        <w:t>720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)</w:t>
      </w:r>
      <w:r w:rsidRPr="00EF2BD8">
        <w:rPr>
          <w:rFonts w:asciiTheme="minorBidi" w:hAnsiTheme="minorBidi" w:cstheme="minorBidi"/>
          <w:sz w:val="24"/>
          <w:szCs w:val="24"/>
          <w:rtl/>
        </w:rPr>
        <w:t>,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 xml:space="preserve"> מחקר ופיתוח בהנדסה ובמדעי הטבע</w:t>
      </w:r>
      <w:r w:rsidRPr="00EF2BD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(</w:t>
      </w:r>
      <w:r w:rsidRPr="00EF2BD8">
        <w:rPr>
          <w:rFonts w:asciiTheme="minorBidi" w:hAnsiTheme="minorBidi" w:cstheme="minorBidi"/>
          <w:sz w:val="24"/>
          <w:szCs w:val="24"/>
          <w:rtl/>
        </w:rPr>
        <w:t>721</w:t>
      </w:r>
      <w:r w:rsidRPr="00EF2BD8">
        <w:rPr>
          <w:rFonts w:asciiTheme="minorBidi" w:hAnsiTheme="minorBidi" w:cstheme="minorBidi" w:hint="cs"/>
          <w:sz w:val="24"/>
          <w:szCs w:val="24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72" w:rsidRPr="00C51E33" w:rsidRDefault="00E07972" w:rsidP="00E07972">
    <w:pPr>
      <w:pStyle w:val="Header"/>
      <w:rPr>
        <w:rFonts w:ascii="Arial" w:hAnsi="Arial" w:cs="Arial"/>
        <w:szCs w:val="24"/>
        <w:rtl/>
      </w:rPr>
    </w:pPr>
    <w:r>
      <w:rPr>
        <w:rFonts w:ascii="Arial" w:hAnsi="Arial" w:cs="Arial"/>
        <w:noProof/>
        <w:szCs w:val="24"/>
        <w:lang w:eastAsia="en-US"/>
      </w:rPr>
      <w:drawing>
        <wp:inline distT="0" distB="0" distL="0" distR="0" wp14:anchorId="4F222840" wp14:editId="6C6EEDB3">
          <wp:extent cx="1140460" cy="1045845"/>
          <wp:effectExtent l="0" t="0" r="2540" b="1905"/>
          <wp:docPr id="3" name="Picture 3" descr="לוגו לשכה מרכזית לסטטיסטיקה" title="לוגו לשכה מרכזית לסטטיסטיק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mas+eng&amp;ara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 w:hint="cs"/>
        <w:szCs w:val="24"/>
        <w:rtl/>
      </w:rPr>
      <w:tab/>
    </w:r>
    <w:r>
      <w:rPr>
        <w:rFonts w:ascii="Arial" w:hAnsi="Arial" w:cs="Arial" w:hint="cs"/>
        <w:szCs w:val="24"/>
        <w:rtl/>
      </w:rPr>
      <w:tab/>
    </w:r>
    <w:r>
      <w:rPr>
        <w:rFonts w:ascii="Arial" w:hAnsi="Arial" w:cs="Arial" w:hint="cs"/>
        <w:szCs w:val="24"/>
        <w:rtl/>
      </w:rPr>
      <w:tab/>
    </w:r>
    <w:r w:rsidRPr="00C51E33">
      <w:rPr>
        <w:rFonts w:ascii="Arial" w:hAnsi="Arial" w:cs="Arial"/>
        <w:szCs w:val="24"/>
        <w:rtl/>
      </w:rPr>
      <w:t>מדינת ישראל</w:t>
    </w:r>
  </w:p>
  <w:p w:rsidR="00E07972" w:rsidRPr="00986DCA" w:rsidRDefault="00E07972" w:rsidP="00E07972">
    <w:pPr>
      <w:pStyle w:val="Header"/>
      <w:jc w:val="center"/>
      <w:rPr>
        <w:rFonts w:ascii="Arial" w:hAnsi="Arial" w:cs="Guttman Hatzvi"/>
        <w:color w:val="000080"/>
        <w:sz w:val="56"/>
        <w:szCs w:val="5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86DCA">
      <w:rPr>
        <w:rFonts w:ascii="Arial" w:hAnsi="Arial" w:cs="Guttman Hatzvi"/>
        <w:color w:val="000080"/>
        <w:sz w:val="56"/>
        <w:szCs w:val="5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הודעה ל</w:t>
    </w:r>
    <w:r w:rsidRPr="00986DCA">
      <w:rPr>
        <w:rFonts w:ascii="Arial" w:hAnsi="Arial" w:cs="Guttman Hatzvi" w:hint="cs"/>
        <w:color w:val="000080"/>
        <w:sz w:val="56"/>
        <w:szCs w:val="5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תקשור</w:t>
    </w:r>
    <w:r w:rsidRPr="00986DCA">
      <w:rPr>
        <w:rFonts w:ascii="Arial" w:hAnsi="Arial" w:cs="Guttman Hatzvi"/>
        <w:color w:val="000080"/>
        <w:sz w:val="56"/>
        <w:szCs w:val="5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ת</w:t>
    </w:r>
  </w:p>
  <w:p w:rsidR="00E07972" w:rsidRPr="00C51E33" w:rsidRDefault="00E07972" w:rsidP="00E07972">
    <w:pPr>
      <w:pStyle w:val="Header"/>
      <w:jc w:val="center"/>
      <w:rPr>
        <w:rFonts w:ascii="Arial" w:hAnsi="Arial" w:cs="Arial"/>
        <w:b w:val="0"/>
        <w:bCs w:val="0"/>
        <w:sz w:val="8"/>
        <w:szCs w:val="8"/>
        <w:rtl/>
      </w:rPr>
    </w:pPr>
  </w:p>
  <w:p w:rsidR="00E07972" w:rsidRPr="00BC3655" w:rsidRDefault="00E07972" w:rsidP="00E07972">
    <w:pPr>
      <w:pStyle w:val="Header"/>
      <w:jc w:val="center"/>
      <w:rPr>
        <w:rFonts w:ascii="Arial" w:hAnsi="Arial" w:cs="Arial"/>
        <w:b w:val="0"/>
        <w:bCs w:val="0"/>
        <w:szCs w:val="24"/>
        <w:rtl/>
      </w:rPr>
    </w:pPr>
    <w:r w:rsidRPr="00BC3655">
      <w:rPr>
        <w:rFonts w:ascii="Arial" w:hAnsi="Arial" w:cs="Arial" w:hint="cs"/>
        <w:b w:val="0"/>
        <w:bCs w:val="0"/>
        <w:szCs w:val="24"/>
        <w:rtl/>
      </w:rPr>
      <w:t xml:space="preserve">אתר:  </w:t>
    </w:r>
    <w:hyperlink r:id="rId2" w:history="1">
      <w:r w:rsidRPr="003F1F12">
        <w:rPr>
          <w:rStyle w:val="Hyperlink"/>
          <w:rFonts w:ascii="Arial" w:hAnsi="Arial" w:cs="Arial"/>
          <w:b w:val="0"/>
          <w:bCs w:val="0"/>
          <w:szCs w:val="24"/>
        </w:rPr>
        <w:t>www.cbs.gov.il</w:t>
      </w:r>
    </w:hyperlink>
    <w:r w:rsidRPr="00BC3655">
      <w:rPr>
        <w:rFonts w:ascii="Arial" w:hAnsi="Arial" w:cs="Arial" w:hint="cs"/>
        <w:b w:val="0"/>
        <w:bCs w:val="0"/>
        <w:szCs w:val="24"/>
        <w:rtl/>
      </w:rPr>
      <w:t xml:space="preserve"> </w:t>
    </w:r>
    <w:r>
      <w:rPr>
        <w:rFonts w:ascii="Arial" w:hAnsi="Arial" w:cs="Arial" w:hint="cs"/>
        <w:b w:val="0"/>
        <w:bCs w:val="0"/>
        <w:szCs w:val="24"/>
        <w:rtl/>
      </w:rPr>
      <w:t xml:space="preserve"> </w:t>
    </w:r>
    <w:r w:rsidRPr="00BC3655">
      <w:rPr>
        <w:rFonts w:ascii="Arial" w:hAnsi="Arial" w:cs="Arial" w:hint="cs"/>
        <w:b w:val="0"/>
        <w:bCs w:val="0"/>
        <w:szCs w:val="24"/>
        <w:rtl/>
      </w:rPr>
      <w:t xml:space="preserve">דוא"ל: </w:t>
    </w:r>
    <w:r w:rsidRPr="00BC3655">
      <w:rPr>
        <w:rFonts w:ascii="Arial" w:hAnsi="Arial" w:cs="Arial"/>
        <w:b w:val="0"/>
        <w:bCs w:val="0"/>
        <w:szCs w:val="24"/>
      </w:rPr>
      <w:t>info@cbs.gov.il</w:t>
    </w:r>
    <w:r w:rsidRPr="00BC3655">
      <w:rPr>
        <w:rFonts w:ascii="Arial" w:hAnsi="Arial" w:cs="Arial" w:hint="cs"/>
        <w:b w:val="0"/>
        <w:bCs w:val="0"/>
        <w:szCs w:val="24"/>
        <w:rtl/>
      </w:rPr>
      <w:t xml:space="preserve"> </w:t>
    </w:r>
    <w:r>
      <w:rPr>
        <w:rFonts w:ascii="Arial" w:hAnsi="Arial" w:cs="Arial" w:hint="cs"/>
        <w:b w:val="0"/>
        <w:bCs w:val="0"/>
        <w:szCs w:val="24"/>
        <w:rtl/>
      </w:rPr>
      <w:t xml:space="preserve"> </w:t>
    </w:r>
    <w:r w:rsidRPr="00BC3655">
      <w:rPr>
        <w:rFonts w:ascii="Arial" w:hAnsi="Arial" w:cs="Arial" w:hint="cs"/>
        <w:b w:val="0"/>
        <w:bCs w:val="0"/>
        <w:szCs w:val="24"/>
        <w:rtl/>
      </w:rPr>
      <w:t>פקס: 02-6521340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8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137F79"/>
    <w:multiLevelType w:val="hybridMultilevel"/>
    <w:tmpl w:val="B6E87A24"/>
    <w:lvl w:ilvl="0" w:tplc="71CE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A2614">
      <w:numFmt w:val="none"/>
      <w:lvlText w:val=""/>
      <w:lvlJc w:val="left"/>
      <w:pPr>
        <w:tabs>
          <w:tab w:val="num" w:pos="360"/>
        </w:tabs>
      </w:pPr>
    </w:lvl>
    <w:lvl w:ilvl="2" w:tplc="18829BCE">
      <w:numFmt w:val="none"/>
      <w:lvlText w:val=""/>
      <w:lvlJc w:val="left"/>
      <w:pPr>
        <w:tabs>
          <w:tab w:val="num" w:pos="360"/>
        </w:tabs>
      </w:pPr>
    </w:lvl>
    <w:lvl w:ilvl="3" w:tplc="BEC4D7D0">
      <w:numFmt w:val="none"/>
      <w:lvlText w:val=""/>
      <w:lvlJc w:val="left"/>
      <w:pPr>
        <w:tabs>
          <w:tab w:val="num" w:pos="360"/>
        </w:tabs>
      </w:pPr>
    </w:lvl>
    <w:lvl w:ilvl="4" w:tplc="0910F3C4">
      <w:numFmt w:val="none"/>
      <w:lvlText w:val=""/>
      <w:lvlJc w:val="left"/>
      <w:pPr>
        <w:tabs>
          <w:tab w:val="num" w:pos="360"/>
        </w:tabs>
      </w:pPr>
    </w:lvl>
    <w:lvl w:ilvl="5" w:tplc="2EF03D9A">
      <w:numFmt w:val="none"/>
      <w:lvlText w:val=""/>
      <w:lvlJc w:val="left"/>
      <w:pPr>
        <w:tabs>
          <w:tab w:val="num" w:pos="360"/>
        </w:tabs>
      </w:pPr>
    </w:lvl>
    <w:lvl w:ilvl="6" w:tplc="A15CCE3A">
      <w:numFmt w:val="none"/>
      <w:lvlText w:val=""/>
      <w:lvlJc w:val="left"/>
      <w:pPr>
        <w:tabs>
          <w:tab w:val="num" w:pos="360"/>
        </w:tabs>
      </w:pPr>
    </w:lvl>
    <w:lvl w:ilvl="7" w:tplc="3F8EAB28">
      <w:numFmt w:val="none"/>
      <w:lvlText w:val=""/>
      <w:lvlJc w:val="left"/>
      <w:pPr>
        <w:tabs>
          <w:tab w:val="num" w:pos="360"/>
        </w:tabs>
      </w:pPr>
    </w:lvl>
    <w:lvl w:ilvl="8" w:tplc="ADE8180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6F3458"/>
    <w:multiLevelType w:val="hybridMultilevel"/>
    <w:tmpl w:val="9956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64FBB"/>
    <w:multiLevelType w:val="hybridMultilevel"/>
    <w:tmpl w:val="EDA8E888"/>
    <w:lvl w:ilvl="0" w:tplc="04090001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7"/>
        </w:tabs>
        <w:ind w:left="1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7"/>
        </w:tabs>
        <w:ind w:left="2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</w:abstractNum>
  <w:abstractNum w:abstractNumId="4">
    <w:nsid w:val="66853991"/>
    <w:multiLevelType w:val="hybridMultilevel"/>
    <w:tmpl w:val="1938D8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6B0A3615"/>
    <w:multiLevelType w:val="multilevel"/>
    <w:tmpl w:val="F9FCD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ED0A26"/>
    <w:multiLevelType w:val="hybridMultilevel"/>
    <w:tmpl w:val="1B34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D5CB1"/>
    <w:multiLevelType w:val="multilevel"/>
    <w:tmpl w:val="0CB84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6F333E"/>
    <w:multiLevelType w:val="hybridMultilevel"/>
    <w:tmpl w:val="25A0F6C6"/>
    <w:lvl w:ilvl="0" w:tplc="E02ECB24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A57B3F"/>
    <w:multiLevelType w:val="multilevel"/>
    <w:tmpl w:val="22B4A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B5"/>
    <w:rsid w:val="0000021C"/>
    <w:rsid w:val="00002C75"/>
    <w:rsid w:val="00005995"/>
    <w:rsid w:val="0000723D"/>
    <w:rsid w:val="00007DAD"/>
    <w:rsid w:val="00010BF2"/>
    <w:rsid w:val="0001124E"/>
    <w:rsid w:val="00012436"/>
    <w:rsid w:val="000124A1"/>
    <w:rsid w:val="000124A3"/>
    <w:rsid w:val="00012B70"/>
    <w:rsid w:val="00017BE6"/>
    <w:rsid w:val="00023571"/>
    <w:rsid w:val="00023921"/>
    <w:rsid w:val="000241C0"/>
    <w:rsid w:val="00024613"/>
    <w:rsid w:val="000264D8"/>
    <w:rsid w:val="00026D03"/>
    <w:rsid w:val="00030ED4"/>
    <w:rsid w:val="00032A93"/>
    <w:rsid w:val="00032F46"/>
    <w:rsid w:val="000334C7"/>
    <w:rsid w:val="00034E19"/>
    <w:rsid w:val="000376DB"/>
    <w:rsid w:val="00037A36"/>
    <w:rsid w:val="00037E94"/>
    <w:rsid w:val="00040C20"/>
    <w:rsid w:val="00041257"/>
    <w:rsid w:val="00041CC9"/>
    <w:rsid w:val="000425FD"/>
    <w:rsid w:val="000450B5"/>
    <w:rsid w:val="00045AA5"/>
    <w:rsid w:val="0004617C"/>
    <w:rsid w:val="00047528"/>
    <w:rsid w:val="00052436"/>
    <w:rsid w:val="00052990"/>
    <w:rsid w:val="000543D0"/>
    <w:rsid w:val="000546E7"/>
    <w:rsid w:val="000548B2"/>
    <w:rsid w:val="000552EC"/>
    <w:rsid w:val="00055F5A"/>
    <w:rsid w:val="00056B4D"/>
    <w:rsid w:val="000600CF"/>
    <w:rsid w:val="00061A14"/>
    <w:rsid w:val="000621F2"/>
    <w:rsid w:val="0006263D"/>
    <w:rsid w:val="000631B4"/>
    <w:rsid w:val="000634A9"/>
    <w:rsid w:val="00063712"/>
    <w:rsid w:val="00064B45"/>
    <w:rsid w:val="00064E74"/>
    <w:rsid w:val="00065116"/>
    <w:rsid w:val="00065257"/>
    <w:rsid w:val="00065AD2"/>
    <w:rsid w:val="00065C54"/>
    <w:rsid w:val="00066303"/>
    <w:rsid w:val="00067FAC"/>
    <w:rsid w:val="0007594D"/>
    <w:rsid w:val="000767AD"/>
    <w:rsid w:val="000801F4"/>
    <w:rsid w:val="00080621"/>
    <w:rsid w:val="00081945"/>
    <w:rsid w:val="000819B5"/>
    <w:rsid w:val="00082759"/>
    <w:rsid w:val="00085609"/>
    <w:rsid w:val="00085A29"/>
    <w:rsid w:val="00090E47"/>
    <w:rsid w:val="000A42DD"/>
    <w:rsid w:val="000A513C"/>
    <w:rsid w:val="000B1335"/>
    <w:rsid w:val="000B1A45"/>
    <w:rsid w:val="000B23EB"/>
    <w:rsid w:val="000B4BA6"/>
    <w:rsid w:val="000B56C1"/>
    <w:rsid w:val="000B5BBA"/>
    <w:rsid w:val="000C277F"/>
    <w:rsid w:val="000C2B1A"/>
    <w:rsid w:val="000C2C07"/>
    <w:rsid w:val="000C3818"/>
    <w:rsid w:val="000C4AB0"/>
    <w:rsid w:val="000C5E50"/>
    <w:rsid w:val="000C7B4B"/>
    <w:rsid w:val="000D2079"/>
    <w:rsid w:val="000D2574"/>
    <w:rsid w:val="000D562F"/>
    <w:rsid w:val="000E0497"/>
    <w:rsid w:val="000E1ABA"/>
    <w:rsid w:val="000E2262"/>
    <w:rsid w:val="000E4571"/>
    <w:rsid w:val="000E47BA"/>
    <w:rsid w:val="000E772C"/>
    <w:rsid w:val="000F23C4"/>
    <w:rsid w:val="000F3371"/>
    <w:rsid w:val="000F40C9"/>
    <w:rsid w:val="000F447D"/>
    <w:rsid w:val="000F50CB"/>
    <w:rsid w:val="000F55C7"/>
    <w:rsid w:val="000F5FF6"/>
    <w:rsid w:val="000F61A9"/>
    <w:rsid w:val="00100A10"/>
    <w:rsid w:val="00103236"/>
    <w:rsid w:val="0010387D"/>
    <w:rsid w:val="00107438"/>
    <w:rsid w:val="00110442"/>
    <w:rsid w:val="001134DF"/>
    <w:rsid w:val="00113DAC"/>
    <w:rsid w:val="00114987"/>
    <w:rsid w:val="00122046"/>
    <w:rsid w:val="00122474"/>
    <w:rsid w:val="00125B66"/>
    <w:rsid w:val="00125BAF"/>
    <w:rsid w:val="001310B5"/>
    <w:rsid w:val="0013266B"/>
    <w:rsid w:val="00132D04"/>
    <w:rsid w:val="00135D1E"/>
    <w:rsid w:val="00136E41"/>
    <w:rsid w:val="00136F7E"/>
    <w:rsid w:val="001377BB"/>
    <w:rsid w:val="00140B73"/>
    <w:rsid w:val="0014156E"/>
    <w:rsid w:val="00142AEA"/>
    <w:rsid w:val="00142CC9"/>
    <w:rsid w:val="00143478"/>
    <w:rsid w:val="001451F5"/>
    <w:rsid w:val="00145440"/>
    <w:rsid w:val="001455EB"/>
    <w:rsid w:val="0014561A"/>
    <w:rsid w:val="001470B6"/>
    <w:rsid w:val="00147CC1"/>
    <w:rsid w:val="0015036C"/>
    <w:rsid w:val="00151085"/>
    <w:rsid w:val="001522FA"/>
    <w:rsid w:val="001528FA"/>
    <w:rsid w:val="00155217"/>
    <w:rsid w:val="00165F17"/>
    <w:rsid w:val="0016654E"/>
    <w:rsid w:val="00167EBD"/>
    <w:rsid w:val="001717D1"/>
    <w:rsid w:val="00174B93"/>
    <w:rsid w:val="00174BA9"/>
    <w:rsid w:val="00174FCF"/>
    <w:rsid w:val="00175A15"/>
    <w:rsid w:val="00177FC5"/>
    <w:rsid w:val="00183086"/>
    <w:rsid w:val="00183165"/>
    <w:rsid w:val="001837BC"/>
    <w:rsid w:val="00184A88"/>
    <w:rsid w:val="0018513E"/>
    <w:rsid w:val="001857A5"/>
    <w:rsid w:val="001859BE"/>
    <w:rsid w:val="0018619E"/>
    <w:rsid w:val="0018625B"/>
    <w:rsid w:val="00186953"/>
    <w:rsid w:val="001869BD"/>
    <w:rsid w:val="00186BA2"/>
    <w:rsid w:val="00187E1D"/>
    <w:rsid w:val="0019061A"/>
    <w:rsid w:val="0019081F"/>
    <w:rsid w:val="0019364C"/>
    <w:rsid w:val="00194B81"/>
    <w:rsid w:val="00195B39"/>
    <w:rsid w:val="001976EB"/>
    <w:rsid w:val="001A1767"/>
    <w:rsid w:val="001A4B33"/>
    <w:rsid w:val="001A5439"/>
    <w:rsid w:val="001A5858"/>
    <w:rsid w:val="001A5FED"/>
    <w:rsid w:val="001A79F2"/>
    <w:rsid w:val="001B1123"/>
    <w:rsid w:val="001B2EC9"/>
    <w:rsid w:val="001B3FFB"/>
    <w:rsid w:val="001B4806"/>
    <w:rsid w:val="001B4996"/>
    <w:rsid w:val="001B4E90"/>
    <w:rsid w:val="001B6724"/>
    <w:rsid w:val="001B677E"/>
    <w:rsid w:val="001B6DF5"/>
    <w:rsid w:val="001C0C73"/>
    <w:rsid w:val="001C3CB0"/>
    <w:rsid w:val="001C531D"/>
    <w:rsid w:val="001D088C"/>
    <w:rsid w:val="001D1825"/>
    <w:rsid w:val="001D1FBA"/>
    <w:rsid w:val="001D285C"/>
    <w:rsid w:val="001D3803"/>
    <w:rsid w:val="001D4FE8"/>
    <w:rsid w:val="001D7681"/>
    <w:rsid w:val="001E0C82"/>
    <w:rsid w:val="001E2B2F"/>
    <w:rsid w:val="001E35A2"/>
    <w:rsid w:val="001E35DD"/>
    <w:rsid w:val="001E361D"/>
    <w:rsid w:val="001E3847"/>
    <w:rsid w:val="001E3A42"/>
    <w:rsid w:val="001E3BCC"/>
    <w:rsid w:val="001E57E7"/>
    <w:rsid w:val="001F1C6C"/>
    <w:rsid w:val="001F1D0C"/>
    <w:rsid w:val="001F52F9"/>
    <w:rsid w:val="001F64A9"/>
    <w:rsid w:val="00200827"/>
    <w:rsid w:val="002012E0"/>
    <w:rsid w:val="00202A5C"/>
    <w:rsid w:val="00202A9E"/>
    <w:rsid w:val="00203772"/>
    <w:rsid w:val="002105E2"/>
    <w:rsid w:val="002119EE"/>
    <w:rsid w:val="00211A2D"/>
    <w:rsid w:val="00212EAC"/>
    <w:rsid w:val="002136FF"/>
    <w:rsid w:val="00215504"/>
    <w:rsid w:val="00217A92"/>
    <w:rsid w:val="002204C5"/>
    <w:rsid w:val="00220610"/>
    <w:rsid w:val="0022177D"/>
    <w:rsid w:val="002224B7"/>
    <w:rsid w:val="00222B1B"/>
    <w:rsid w:val="00225A4D"/>
    <w:rsid w:val="00226365"/>
    <w:rsid w:val="00226962"/>
    <w:rsid w:val="00227427"/>
    <w:rsid w:val="002335C6"/>
    <w:rsid w:val="0023512B"/>
    <w:rsid w:val="0023578F"/>
    <w:rsid w:val="00235EA9"/>
    <w:rsid w:val="00236255"/>
    <w:rsid w:val="0023682C"/>
    <w:rsid w:val="00237AB0"/>
    <w:rsid w:val="00241042"/>
    <w:rsid w:val="0024193C"/>
    <w:rsid w:val="00242127"/>
    <w:rsid w:val="00242809"/>
    <w:rsid w:val="0024302C"/>
    <w:rsid w:val="00243766"/>
    <w:rsid w:val="00244774"/>
    <w:rsid w:val="00244ACD"/>
    <w:rsid w:val="00245722"/>
    <w:rsid w:val="00245D3A"/>
    <w:rsid w:val="00246E1C"/>
    <w:rsid w:val="0024715F"/>
    <w:rsid w:val="00247455"/>
    <w:rsid w:val="00251271"/>
    <w:rsid w:val="00251445"/>
    <w:rsid w:val="00252552"/>
    <w:rsid w:val="00253446"/>
    <w:rsid w:val="0025386E"/>
    <w:rsid w:val="00253AB7"/>
    <w:rsid w:val="00261076"/>
    <w:rsid w:val="00261522"/>
    <w:rsid w:val="00262802"/>
    <w:rsid w:val="0026395C"/>
    <w:rsid w:val="00263ED8"/>
    <w:rsid w:val="00266CF2"/>
    <w:rsid w:val="002737A0"/>
    <w:rsid w:val="002745FF"/>
    <w:rsid w:val="002772FD"/>
    <w:rsid w:val="00281655"/>
    <w:rsid w:val="00281B4E"/>
    <w:rsid w:val="00286ED6"/>
    <w:rsid w:val="00287A1F"/>
    <w:rsid w:val="002901FE"/>
    <w:rsid w:val="00291B86"/>
    <w:rsid w:val="00293014"/>
    <w:rsid w:val="00296470"/>
    <w:rsid w:val="00297659"/>
    <w:rsid w:val="00297DE0"/>
    <w:rsid w:val="002A0ACF"/>
    <w:rsid w:val="002A1F1C"/>
    <w:rsid w:val="002A2843"/>
    <w:rsid w:val="002A2EA5"/>
    <w:rsid w:val="002A3B2A"/>
    <w:rsid w:val="002A7C61"/>
    <w:rsid w:val="002B2037"/>
    <w:rsid w:val="002B3023"/>
    <w:rsid w:val="002B5FA3"/>
    <w:rsid w:val="002B6A2D"/>
    <w:rsid w:val="002C2AA0"/>
    <w:rsid w:val="002C4117"/>
    <w:rsid w:val="002C53F4"/>
    <w:rsid w:val="002C577A"/>
    <w:rsid w:val="002C6AF7"/>
    <w:rsid w:val="002C7C7B"/>
    <w:rsid w:val="002D2014"/>
    <w:rsid w:val="002D2529"/>
    <w:rsid w:val="002D2A25"/>
    <w:rsid w:val="002D4307"/>
    <w:rsid w:val="002D49C8"/>
    <w:rsid w:val="002D77E4"/>
    <w:rsid w:val="002E1CF0"/>
    <w:rsid w:val="002E48F3"/>
    <w:rsid w:val="002E52B1"/>
    <w:rsid w:val="002E7812"/>
    <w:rsid w:val="002F29B1"/>
    <w:rsid w:val="002F2DA2"/>
    <w:rsid w:val="002F3587"/>
    <w:rsid w:val="002F763A"/>
    <w:rsid w:val="002F7FF0"/>
    <w:rsid w:val="00300646"/>
    <w:rsid w:val="003012B4"/>
    <w:rsid w:val="00302472"/>
    <w:rsid w:val="00305E94"/>
    <w:rsid w:val="00313862"/>
    <w:rsid w:val="00315F57"/>
    <w:rsid w:val="00320189"/>
    <w:rsid w:val="0032035A"/>
    <w:rsid w:val="00321B61"/>
    <w:rsid w:val="0032270B"/>
    <w:rsid w:val="00322D3C"/>
    <w:rsid w:val="0032356C"/>
    <w:rsid w:val="00325648"/>
    <w:rsid w:val="003261D7"/>
    <w:rsid w:val="00327275"/>
    <w:rsid w:val="003272D3"/>
    <w:rsid w:val="0032764F"/>
    <w:rsid w:val="00327D8D"/>
    <w:rsid w:val="00331569"/>
    <w:rsid w:val="00332350"/>
    <w:rsid w:val="003336B3"/>
    <w:rsid w:val="0033414C"/>
    <w:rsid w:val="0033443A"/>
    <w:rsid w:val="003416CA"/>
    <w:rsid w:val="00341F8B"/>
    <w:rsid w:val="003426FB"/>
    <w:rsid w:val="003433A3"/>
    <w:rsid w:val="00345532"/>
    <w:rsid w:val="003518F9"/>
    <w:rsid w:val="00353020"/>
    <w:rsid w:val="0035418C"/>
    <w:rsid w:val="003542A4"/>
    <w:rsid w:val="00355C60"/>
    <w:rsid w:val="00361239"/>
    <w:rsid w:val="0036144E"/>
    <w:rsid w:val="003642B3"/>
    <w:rsid w:val="003642D6"/>
    <w:rsid w:val="003664FB"/>
    <w:rsid w:val="00371308"/>
    <w:rsid w:val="0037248E"/>
    <w:rsid w:val="00372FE7"/>
    <w:rsid w:val="003761B8"/>
    <w:rsid w:val="003762ED"/>
    <w:rsid w:val="00376724"/>
    <w:rsid w:val="003773C2"/>
    <w:rsid w:val="0038027E"/>
    <w:rsid w:val="0038347E"/>
    <w:rsid w:val="0038371F"/>
    <w:rsid w:val="00383C1E"/>
    <w:rsid w:val="003842AB"/>
    <w:rsid w:val="003848D3"/>
    <w:rsid w:val="003867CC"/>
    <w:rsid w:val="00386A8B"/>
    <w:rsid w:val="00390FE1"/>
    <w:rsid w:val="0039104A"/>
    <w:rsid w:val="00393154"/>
    <w:rsid w:val="003940DD"/>
    <w:rsid w:val="003957DF"/>
    <w:rsid w:val="00395AA1"/>
    <w:rsid w:val="0039774E"/>
    <w:rsid w:val="00397A63"/>
    <w:rsid w:val="003A206D"/>
    <w:rsid w:val="003A4555"/>
    <w:rsid w:val="003A6279"/>
    <w:rsid w:val="003A6578"/>
    <w:rsid w:val="003A7525"/>
    <w:rsid w:val="003B053F"/>
    <w:rsid w:val="003B0FFF"/>
    <w:rsid w:val="003B335F"/>
    <w:rsid w:val="003B370F"/>
    <w:rsid w:val="003B3AA9"/>
    <w:rsid w:val="003B4800"/>
    <w:rsid w:val="003B72CC"/>
    <w:rsid w:val="003C174D"/>
    <w:rsid w:val="003C25FE"/>
    <w:rsid w:val="003C2DFB"/>
    <w:rsid w:val="003C2F81"/>
    <w:rsid w:val="003C3BDF"/>
    <w:rsid w:val="003C5C74"/>
    <w:rsid w:val="003D0BE8"/>
    <w:rsid w:val="003D15B0"/>
    <w:rsid w:val="003D333B"/>
    <w:rsid w:val="003D44EA"/>
    <w:rsid w:val="003E0A9A"/>
    <w:rsid w:val="003E11BE"/>
    <w:rsid w:val="003E2535"/>
    <w:rsid w:val="003E27DE"/>
    <w:rsid w:val="003E2A5D"/>
    <w:rsid w:val="003E62A9"/>
    <w:rsid w:val="003F0837"/>
    <w:rsid w:val="003F08C5"/>
    <w:rsid w:val="003F249D"/>
    <w:rsid w:val="003F2B3F"/>
    <w:rsid w:val="003F2F67"/>
    <w:rsid w:val="003F59BC"/>
    <w:rsid w:val="003F61FE"/>
    <w:rsid w:val="003F6277"/>
    <w:rsid w:val="003F666A"/>
    <w:rsid w:val="00400491"/>
    <w:rsid w:val="0040576B"/>
    <w:rsid w:val="0040715F"/>
    <w:rsid w:val="004077D8"/>
    <w:rsid w:val="00410AAE"/>
    <w:rsid w:val="004125A2"/>
    <w:rsid w:val="0041276E"/>
    <w:rsid w:val="00414152"/>
    <w:rsid w:val="004248C7"/>
    <w:rsid w:val="00424F60"/>
    <w:rsid w:val="0042762E"/>
    <w:rsid w:val="00431022"/>
    <w:rsid w:val="004319A2"/>
    <w:rsid w:val="00431A14"/>
    <w:rsid w:val="00440EDF"/>
    <w:rsid w:val="004414F4"/>
    <w:rsid w:val="00442199"/>
    <w:rsid w:val="0044300E"/>
    <w:rsid w:val="004433B2"/>
    <w:rsid w:val="004458AB"/>
    <w:rsid w:val="004539A1"/>
    <w:rsid w:val="004546F3"/>
    <w:rsid w:val="0045533D"/>
    <w:rsid w:val="00455753"/>
    <w:rsid w:val="00461945"/>
    <w:rsid w:val="00461A7C"/>
    <w:rsid w:val="00462C9B"/>
    <w:rsid w:val="00463736"/>
    <w:rsid w:val="0046415B"/>
    <w:rsid w:val="00464854"/>
    <w:rsid w:val="00465A39"/>
    <w:rsid w:val="00466C12"/>
    <w:rsid w:val="00470F6C"/>
    <w:rsid w:val="00472377"/>
    <w:rsid w:val="004730CF"/>
    <w:rsid w:val="00475397"/>
    <w:rsid w:val="00477BDE"/>
    <w:rsid w:val="004814DE"/>
    <w:rsid w:val="004816BC"/>
    <w:rsid w:val="00481F6D"/>
    <w:rsid w:val="004824AC"/>
    <w:rsid w:val="004837F0"/>
    <w:rsid w:val="004854EA"/>
    <w:rsid w:val="0049055B"/>
    <w:rsid w:val="0049080D"/>
    <w:rsid w:val="00490935"/>
    <w:rsid w:val="004927C4"/>
    <w:rsid w:val="00493412"/>
    <w:rsid w:val="00493617"/>
    <w:rsid w:val="00495143"/>
    <w:rsid w:val="00496016"/>
    <w:rsid w:val="004A097F"/>
    <w:rsid w:val="004A146B"/>
    <w:rsid w:val="004A2738"/>
    <w:rsid w:val="004A2EFB"/>
    <w:rsid w:val="004A400D"/>
    <w:rsid w:val="004A4F44"/>
    <w:rsid w:val="004A5ACA"/>
    <w:rsid w:val="004A6246"/>
    <w:rsid w:val="004A723F"/>
    <w:rsid w:val="004B1BB1"/>
    <w:rsid w:val="004B1BE6"/>
    <w:rsid w:val="004B2175"/>
    <w:rsid w:val="004B40B3"/>
    <w:rsid w:val="004B45F1"/>
    <w:rsid w:val="004B4ECF"/>
    <w:rsid w:val="004B509C"/>
    <w:rsid w:val="004B5D66"/>
    <w:rsid w:val="004B5F81"/>
    <w:rsid w:val="004C0203"/>
    <w:rsid w:val="004C0BEB"/>
    <w:rsid w:val="004C6BD8"/>
    <w:rsid w:val="004D39B9"/>
    <w:rsid w:val="004D5290"/>
    <w:rsid w:val="004D5848"/>
    <w:rsid w:val="004D6C42"/>
    <w:rsid w:val="004D7265"/>
    <w:rsid w:val="004D781A"/>
    <w:rsid w:val="004E2940"/>
    <w:rsid w:val="004E4202"/>
    <w:rsid w:val="004E4444"/>
    <w:rsid w:val="004E6271"/>
    <w:rsid w:val="004F026A"/>
    <w:rsid w:val="004F1E1F"/>
    <w:rsid w:val="004F2364"/>
    <w:rsid w:val="004F2564"/>
    <w:rsid w:val="004F371E"/>
    <w:rsid w:val="004F37AB"/>
    <w:rsid w:val="004F3E20"/>
    <w:rsid w:val="004F3FDC"/>
    <w:rsid w:val="004F5326"/>
    <w:rsid w:val="004F53AC"/>
    <w:rsid w:val="004F5403"/>
    <w:rsid w:val="0050077E"/>
    <w:rsid w:val="00502D68"/>
    <w:rsid w:val="00503D1E"/>
    <w:rsid w:val="005047FB"/>
    <w:rsid w:val="005058A5"/>
    <w:rsid w:val="0050721A"/>
    <w:rsid w:val="0050779A"/>
    <w:rsid w:val="0051099E"/>
    <w:rsid w:val="00511A2F"/>
    <w:rsid w:val="0051227C"/>
    <w:rsid w:val="0051298A"/>
    <w:rsid w:val="00513AFB"/>
    <w:rsid w:val="00513B43"/>
    <w:rsid w:val="005147C1"/>
    <w:rsid w:val="00514A25"/>
    <w:rsid w:val="00516902"/>
    <w:rsid w:val="00516D03"/>
    <w:rsid w:val="00521001"/>
    <w:rsid w:val="00525429"/>
    <w:rsid w:val="00526113"/>
    <w:rsid w:val="0052622F"/>
    <w:rsid w:val="005320FE"/>
    <w:rsid w:val="00532B80"/>
    <w:rsid w:val="00533B29"/>
    <w:rsid w:val="00534DD9"/>
    <w:rsid w:val="005359F5"/>
    <w:rsid w:val="0053798B"/>
    <w:rsid w:val="00541A64"/>
    <w:rsid w:val="00542F8E"/>
    <w:rsid w:val="00544806"/>
    <w:rsid w:val="00545186"/>
    <w:rsid w:val="00550082"/>
    <w:rsid w:val="00552840"/>
    <w:rsid w:val="00553427"/>
    <w:rsid w:val="005542DA"/>
    <w:rsid w:val="005557AA"/>
    <w:rsid w:val="00557561"/>
    <w:rsid w:val="00560A35"/>
    <w:rsid w:val="00564C1B"/>
    <w:rsid w:val="00567218"/>
    <w:rsid w:val="005677C5"/>
    <w:rsid w:val="0057120C"/>
    <w:rsid w:val="00571663"/>
    <w:rsid w:val="00571EB9"/>
    <w:rsid w:val="00573B9D"/>
    <w:rsid w:val="00575395"/>
    <w:rsid w:val="005768AC"/>
    <w:rsid w:val="00576FA7"/>
    <w:rsid w:val="005772F1"/>
    <w:rsid w:val="00577824"/>
    <w:rsid w:val="0058151A"/>
    <w:rsid w:val="00585669"/>
    <w:rsid w:val="005860F8"/>
    <w:rsid w:val="00587EE0"/>
    <w:rsid w:val="00590C39"/>
    <w:rsid w:val="00590EB3"/>
    <w:rsid w:val="00592717"/>
    <w:rsid w:val="00592736"/>
    <w:rsid w:val="00592C6A"/>
    <w:rsid w:val="0059344E"/>
    <w:rsid w:val="00594AE8"/>
    <w:rsid w:val="00597326"/>
    <w:rsid w:val="005A09B7"/>
    <w:rsid w:val="005A4060"/>
    <w:rsid w:val="005A4547"/>
    <w:rsid w:val="005A5529"/>
    <w:rsid w:val="005A5677"/>
    <w:rsid w:val="005A7258"/>
    <w:rsid w:val="005A78EE"/>
    <w:rsid w:val="005B19F7"/>
    <w:rsid w:val="005B223D"/>
    <w:rsid w:val="005B6101"/>
    <w:rsid w:val="005B6624"/>
    <w:rsid w:val="005B67AD"/>
    <w:rsid w:val="005B67C4"/>
    <w:rsid w:val="005C013E"/>
    <w:rsid w:val="005C03F7"/>
    <w:rsid w:val="005C0C56"/>
    <w:rsid w:val="005C1D70"/>
    <w:rsid w:val="005C22CC"/>
    <w:rsid w:val="005C43FA"/>
    <w:rsid w:val="005C5474"/>
    <w:rsid w:val="005C6D0A"/>
    <w:rsid w:val="005C70F2"/>
    <w:rsid w:val="005D0937"/>
    <w:rsid w:val="005D0BEB"/>
    <w:rsid w:val="005D1459"/>
    <w:rsid w:val="005D1E45"/>
    <w:rsid w:val="005D4BA3"/>
    <w:rsid w:val="005D66B7"/>
    <w:rsid w:val="005D6881"/>
    <w:rsid w:val="005E0900"/>
    <w:rsid w:val="005E1852"/>
    <w:rsid w:val="005E2E77"/>
    <w:rsid w:val="005E350E"/>
    <w:rsid w:val="005E433E"/>
    <w:rsid w:val="005E445D"/>
    <w:rsid w:val="005E4A65"/>
    <w:rsid w:val="005E5DEA"/>
    <w:rsid w:val="005E7AB9"/>
    <w:rsid w:val="005F009E"/>
    <w:rsid w:val="005F0B03"/>
    <w:rsid w:val="005F2781"/>
    <w:rsid w:val="005F38BA"/>
    <w:rsid w:val="005F4070"/>
    <w:rsid w:val="005F51E9"/>
    <w:rsid w:val="005F6462"/>
    <w:rsid w:val="005F6F4E"/>
    <w:rsid w:val="00602223"/>
    <w:rsid w:val="0060224C"/>
    <w:rsid w:val="00602512"/>
    <w:rsid w:val="006035DD"/>
    <w:rsid w:val="006049D4"/>
    <w:rsid w:val="00604EF1"/>
    <w:rsid w:val="0060509A"/>
    <w:rsid w:val="00611213"/>
    <w:rsid w:val="00611891"/>
    <w:rsid w:val="006159FC"/>
    <w:rsid w:val="006172B8"/>
    <w:rsid w:val="00617E77"/>
    <w:rsid w:val="00621BD4"/>
    <w:rsid w:val="0062210A"/>
    <w:rsid w:val="00624CF3"/>
    <w:rsid w:val="006254B5"/>
    <w:rsid w:val="00625A15"/>
    <w:rsid w:val="00626C19"/>
    <w:rsid w:val="00631153"/>
    <w:rsid w:val="00631286"/>
    <w:rsid w:val="00636FBA"/>
    <w:rsid w:val="006376F3"/>
    <w:rsid w:val="00637A33"/>
    <w:rsid w:val="006403E6"/>
    <w:rsid w:val="00640F0F"/>
    <w:rsid w:val="006421C6"/>
    <w:rsid w:val="006462FB"/>
    <w:rsid w:val="006467BA"/>
    <w:rsid w:val="00646C83"/>
    <w:rsid w:val="00647CE2"/>
    <w:rsid w:val="006508A2"/>
    <w:rsid w:val="0065235D"/>
    <w:rsid w:val="006529DE"/>
    <w:rsid w:val="00652EBF"/>
    <w:rsid w:val="006548A8"/>
    <w:rsid w:val="00655734"/>
    <w:rsid w:val="0065596A"/>
    <w:rsid w:val="006569EB"/>
    <w:rsid w:val="00657EC2"/>
    <w:rsid w:val="00662914"/>
    <w:rsid w:val="00663877"/>
    <w:rsid w:val="00663E94"/>
    <w:rsid w:val="0066439A"/>
    <w:rsid w:val="00665625"/>
    <w:rsid w:val="00667044"/>
    <w:rsid w:val="006673CA"/>
    <w:rsid w:val="0067026A"/>
    <w:rsid w:val="006734B4"/>
    <w:rsid w:val="00674190"/>
    <w:rsid w:val="00680DD7"/>
    <w:rsid w:val="0068159B"/>
    <w:rsid w:val="00683145"/>
    <w:rsid w:val="0068345C"/>
    <w:rsid w:val="0069253F"/>
    <w:rsid w:val="00692F5D"/>
    <w:rsid w:val="00696322"/>
    <w:rsid w:val="00696AE5"/>
    <w:rsid w:val="006A0024"/>
    <w:rsid w:val="006A392D"/>
    <w:rsid w:val="006A5007"/>
    <w:rsid w:val="006A6423"/>
    <w:rsid w:val="006B2484"/>
    <w:rsid w:val="006B2967"/>
    <w:rsid w:val="006B2A7A"/>
    <w:rsid w:val="006B4209"/>
    <w:rsid w:val="006B45AC"/>
    <w:rsid w:val="006B4950"/>
    <w:rsid w:val="006B5054"/>
    <w:rsid w:val="006C229D"/>
    <w:rsid w:val="006C31EE"/>
    <w:rsid w:val="006C5231"/>
    <w:rsid w:val="006C5257"/>
    <w:rsid w:val="006C68F4"/>
    <w:rsid w:val="006C7F9C"/>
    <w:rsid w:val="006D23B0"/>
    <w:rsid w:val="006D3F35"/>
    <w:rsid w:val="006D415A"/>
    <w:rsid w:val="006D5D3A"/>
    <w:rsid w:val="006D69C1"/>
    <w:rsid w:val="006D7B6F"/>
    <w:rsid w:val="006E0E9E"/>
    <w:rsid w:val="006E3B93"/>
    <w:rsid w:val="006E49BD"/>
    <w:rsid w:val="006F2FBC"/>
    <w:rsid w:val="006F5D4E"/>
    <w:rsid w:val="006F71C7"/>
    <w:rsid w:val="006F73F0"/>
    <w:rsid w:val="00700287"/>
    <w:rsid w:val="007028F9"/>
    <w:rsid w:val="007032F1"/>
    <w:rsid w:val="0070338D"/>
    <w:rsid w:val="00710713"/>
    <w:rsid w:val="00712645"/>
    <w:rsid w:val="00716014"/>
    <w:rsid w:val="00717B59"/>
    <w:rsid w:val="00720A6D"/>
    <w:rsid w:val="00725C1B"/>
    <w:rsid w:val="00726CC5"/>
    <w:rsid w:val="00730830"/>
    <w:rsid w:val="0073270A"/>
    <w:rsid w:val="00732F59"/>
    <w:rsid w:val="00733853"/>
    <w:rsid w:val="00740EEB"/>
    <w:rsid w:val="0074100B"/>
    <w:rsid w:val="00741646"/>
    <w:rsid w:val="007442EF"/>
    <w:rsid w:val="00746A2D"/>
    <w:rsid w:val="00746D36"/>
    <w:rsid w:val="00746F55"/>
    <w:rsid w:val="0075028A"/>
    <w:rsid w:val="007503C3"/>
    <w:rsid w:val="00751AA6"/>
    <w:rsid w:val="00752327"/>
    <w:rsid w:val="0075275D"/>
    <w:rsid w:val="00753E86"/>
    <w:rsid w:val="0075515B"/>
    <w:rsid w:val="00755210"/>
    <w:rsid w:val="00755B00"/>
    <w:rsid w:val="00755BE9"/>
    <w:rsid w:val="0076121A"/>
    <w:rsid w:val="00761A0C"/>
    <w:rsid w:val="00761D29"/>
    <w:rsid w:val="0076434C"/>
    <w:rsid w:val="00764354"/>
    <w:rsid w:val="007673BB"/>
    <w:rsid w:val="00767CE6"/>
    <w:rsid w:val="0077041C"/>
    <w:rsid w:val="00771BBA"/>
    <w:rsid w:val="00774F24"/>
    <w:rsid w:val="0077580A"/>
    <w:rsid w:val="00775ABE"/>
    <w:rsid w:val="00775C47"/>
    <w:rsid w:val="007772A5"/>
    <w:rsid w:val="00780EB5"/>
    <w:rsid w:val="00781DE7"/>
    <w:rsid w:val="00784195"/>
    <w:rsid w:val="00784679"/>
    <w:rsid w:val="0078768B"/>
    <w:rsid w:val="00793585"/>
    <w:rsid w:val="00794C1B"/>
    <w:rsid w:val="00796EEE"/>
    <w:rsid w:val="00796FFE"/>
    <w:rsid w:val="007A138D"/>
    <w:rsid w:val="007A3EF7"/>
    <w:rsid w:val="007A3FD7"/>
    <w:rsid w:val="007A626B"/>
    <w:rsid w:val="007B0F35"/>
    <w:rsid w:val="007B2144"/>
    <w:rsid w:val="007B2384"/>
    <w:rsid w:val="007B36CA"/>
    <w:rsid w:val="007B45BC"/>
    <w:rsid w:val="007B53DF"/>
    <w:rsid w:val="007B5994"/>
    <w:rsid w:val="007B5A3E"/>
    <w:rsid w:val="007B5EBA"/>
    <w:rsid w:val="007C267E"/>
    <w:rsid w:val="007C2D22"/>
    <w:rsid w:val="007C2DAD"/>
    <w:rsid w:val="007C379D"/>
    <w:rsid w:val="007C3BC2"/>
    <w:rsid w:val="007C4A1B"/>
    <w:rsid w:val="007C4B9B"/>
    <w:rsid w:val="007C620D"/>
    <w:rsid w:val="007C72AD"/>
    <w:rsid w:val="007C73C8"/>
    <w:rsid w:val="007C7417"/>
    <w:rsid w:val="007C77C1"/>
    <w:rsid w:val="007D0EE7"/>
    <w:rsid w:val="007D44B8"/>
    <w:rsid w:val="007D5A0D"/>
    <w:rsid w:val="007D6153"/>
    <w:rsid w:val="007D70AD"/>
    <w:rsid w:val="007D7DD8"/>
    <w:rsid w:val="007E6054"/>
    <w:rsid w:val="007F0D6A"/>
    <w:rsid w:val="007F0F6D"/>
    <w:rsid w:val="007F22B4"/>
    <w:rsid w:val="007F27B6"/>
    <w:rsid w:val="007F3672"/>
    <w:rsid w:val="007F465C"/>
    <w:rsid w:val="007F5908"/>
    <w:rsid w:val="00800B2D"/>
    <w:rsid w:val="00801E42"/>
    <w:rsid w:val="00802327"/>
    <w:rsid w:val="00804BFC"/>
    <w:rsid w:val="008072FF"/>
    <w:rsid w:val="00810694"/>
    <w:rsid w:val="00813235"/>
    <w:rsid w:val="00816F37"/>
    <w:rsid w:val="00820184"/>
    <w:rsid w:val="0082020F"/>
    <w:rsid w:val="0082128F"/>
    <w:rsid w:val="00822508"/>
    <w:rsid w:val="00823B63"/>
    <w:rsid w:val="00824E03"/>
    <w:rsid w:val="00831641"/>
    <w:rsid w:val="008326DF"/>
    <w:rsid w:val="00832A88"/>
    <w:rsid w:val="008343A5"/>
    <w:rsid w:val="00834A8D"/>
    <w:rsid w:val="00835145"/>
    <w:rsid w:val="00835F7E"/>
    <w:rsid w:val="00836356"/>
    <w:rsid w:val="00841072"/>
    <w:rsid w:val="00842502"/>
    <w:rsid w:val="00842E91"/>
    <w:rsid w:val="00843032"/>
    <w:rsid w:val="0084304F"/>
    <w:rsid w:val="00843A19"/>
    <w:rsid w:val="00843C09"/>
    <w:rsid w:val="00844820"/>
    <w:rsid w:val="00847F4D"/>
    <w:rsid w:val="00852AA3"/>
    <w:rsid w:val="00852DC6"/>
    <w:rsid w:val="00860FB7"/>
    <w:rsid w:val="00862486"/>
    <w:rsid w:val="00862734"/>
    <w:rsid w:val="0086622C"/>
    <w:rsid w:val="00866247"/>
    <w:rsid w:val="0086715B"/>
    <w:rsid w:val="00870549"/>
    <w:rsid w:val="008724B9"/>
    <w:rsid w:val="00875580"/>
    <w:rsid w:val="0088086C"/>
    <w:rsid w:val="0088181B"/>
    <w:rsid w:val="00881E28"/>
    <w:rsid w:val="00882026"/>
    <w:rsid w:val="00882476"/>
    <w:rsid w:val="0088263F"/>
    <w:rsid w:val="00883537"/>
    <w:rsid w:val="008838C9"/>
    <w:rsid w:val="00886F44"/>
    <w:rsid w:val="00887549"/>
    <w:rsid w:val="00887914"/>
    <w:rsid w:val="00891BFD"/>
    <w:rsid w:val="00893214"/>
    <w:rsid w:val="00893CA6"/>
    <w:rsid w:val="008949B7"/>
    <w:rsid w:val="008966EC"/>
    <w:rsid w:val="00897137"/>
    <w:rsid w:val="008A115A"/>
    <w:rsid w:val="008A21CA"/>
    <w:rsid w:val="008A373B"/>
    <w:rsid w:val="008A513B"/>
    <w:rsid w:val="008A6BBC"/>
    <w:rsid w:val="008A720E"/>
    <w:rsid w:val="008A7520"/>
    <w:rsid w:val="008B0AAF"/>
    <w:rsid w:val="008B317C"/>
    <w:rsid w:val="008B3E9C"/>
    <w:rsid w:val="008B529D"/>
    <w:rsid w:val="008B67FA"/>
    <w:rsid w:val="008C5CC7"/>
    <w:rsid w:val="008C6A88"/>
    <w:rsid w:val="008D291A"/>
    <w:rsid w:val="008D2D6A"/>
    <w:rsid w:val="008D595C"/>
    <w:rsid w:val="008E1A22"/>
    <w:rsid w:val="008E286F"/>
    <w:rsid w:val="008E303C"/>
    <w:rsid w:val="008E5444"/>
    <w:rsid w:val="008E5D2F"/>
    <w:rsid w:val="008E67F2"/>
    <w:rsid w:val="008F32F9"/>
    <w:rsid w:val="008F3E8B"/>
    <w:rsid w:val="008F6190"/>
    <w:rsid w:val="008F69AD"/>
    <w:rsid w:val="008F6CD8"/>
    <w:rsid w:val="008F797B"/>
    <w:rsid w:val="008F7982"/>
    <w:rsid w:val="009006E1"/>
    <w:rsid w:val="00900B8B"/>
    <w:rsid w:val="0090214E"/>
    <w:rsid w:val="00902BB4"/>
    <w:rsid w:val="00903F75"/>
    <w:rsid w:val="00904AFA"/>
    <w:rsid w:val="00904F3B"/>
    <w:rsid w:val="00907CD0"/>
    <w:rsid w:val="00907CD2"/>
    <w:rsid w:val="00910B0A"/>
    <w:rsid w:val="00913FB4"/>
    <w:rsid w:val="0091545A"/>
    <w:rsid w:val="00915531"/>
    <w:rsid w:val="009166F6"/>
    <w:rsid w:val="009211CC"/>
    <w:rsid w:val="00926A93"/>
    <w:rsid w:val="009318A9"/>
    <w:rsid w:val="00931BD8"/>
    <w:rsid w:val="009322DD"/>
    <w:rsid w:val="009330B6"/>
    <w:rsid w:val="00933661"/>
    <w:rsid w:val="00934FB1"/>
    <w:rsid w:val="009352C5"/>
    <w:rsid w:val="009402B4"/>
    <w:rsid w:val="009417EE"/>
    <w:rsid w:val="00941F2F"/>
    <w:rsid w:val="009434C9"/>
    <w:rsid w:val="0094451F"/>
    <w:rsid w:val="009469A7"/>
    <w:rsid w:val="00946D21"/>
    <w:rsid w:val="0095106D"/>
    <w:rsid w:val="00952CD8"/>
    <w:rsid w:val="00961A34"/>
    <w:rsid w:val="00962F0E"/>
    <w:rsid w:val="00963D0C"/>
    <w:rsid w:val="00963EE7"/>
    <w:rsid w:val="00964112"/>
    <w:rsid w:val="0096664D"/>
    <w:rsid w:val="00966FB2"/>
    <w:rsid w:val="009671A8"/>
    <w:rsid w:val="0096772E"/>
    <w:rsid w:val="00967E28"/>
    <w:rsid w:val="0097328A"/>
    <w:rsid w:val="0097344B"/>
    <w:rsid w:val="00974A18"/>
    <w:rsid w:val="00976AB3"/>
    <w:rsid w:val="00980A17"/>
    <w:rsid w:val="00982CFD"/>
    <w:rsid w:val="00983391"/>
    <w:rsid w:val="00984253"/>
    <w:rsid w:val="00984304"/>
    <w:rsid w:val="0098575A"/>
    <w:rsid w:val="00986F21"/>
    <w:rsid w:val="0099128D"/>
    <w:rsid w:val="00991386"/>
    <w:rsid w:val="00994441"/>
    <w:rsid w:val="009957DB"/>
    <w:rsid w:val="00995FF4"/>
    <w:rsid w:val="009A19CE"/>
    <w:rsid w:val="009A1CE1"/>
    <w:rsid w:val="009A2E99"/>
    <w:rsid w:val="009A56F9"/>
    <w:rsid w:val="009A7C90"/>
    <w:rsid w:val="009B1CD9"/>
    <w:rsid w:val="009B40CE"/>
    <w:rsid w:val="009B4797"/>
    <w:rsid w:val="009B4AB2"/>
    <w:rsid w:val="009B59EF"/>
    <w:rsid w:val="009B64B4"/>
    <w:rsid w:val="009B75F4"/>
    <w:rsid w:val="009C1094"/>
    <w:rsid w:val="009C1CC3"/>
    <w:rsid w:val="009C34D0"/>
    <w:rsid w:val="009C45B2"/>
    <w:rsid w:val="009C4C7E"/>
    <w:rsid w:val="009C753B"/>
    <w:rsid w:val="009C7569"/>
    <w:rsid w:val="009C7821"/>
    <w:rsid w:val="009C7C36"/>
    <w:rsid w:val="009D2983"/>
    <w:rsid w:val="009D3E51"/>
    <w:rsid w:val="009D5259"/>
    <w:rsid w:val="009D5316"/>
    <w:rsid w:val="009E0847"/>
    <w:rsid w:val="009E12D4"/>
    <w:rsid w:val="009E179A"/>
    <w:rsid w:val="009E3971"/>
    <w:rsid w:val="009E6D74"/>
    <w:rsid w:val="009F652C"/>
    <w:rsid w:val="009F65CE"/>
    <w:rsid w:val="009F7A64"/>
    <w:rsid w:val="00A01CAD"/>
    <w:rsid w:val="00A0202D"/>
    <w:rsid w:val="00A02BC2"/>
    <w:rsid w:val="00A03A70"/>
    <w:rsid w:val="00A05E26"/>
    <w:rsid w:val="00A1160C"/>
    <w:rsid w:val="00A124E1"/>
    <w:rsid w:val="00A146BE"/>
    <w:rsid w:val="00A14C9D"/>
    <w:rsid w:val="00A150F1"/>
    <w:rsid w:val="00A1639C"/>
    <w:rsid w:val="00A22427"/>
    <w:rsid w:val="00A22BDE"/>
    <w:rsid w:val="00A249EC"/>
    <w:rsid w:val="00A275C7"/>
    <w:rsid w:val="00A27B0B"/>
    <w:rsid w:val="00A27D54"/>
    <w:rsid w:val="00A31112"/>
    <w:rsid w:val="00A32A49"/>
    <w:rsid w:val="00A334E2"/>
    <w:rsid w:val="00A367BA"/>
    <w:rsid w:val="00A37409"/>
    <w:rsid w:val="00A378AB"/>
    <w:rsid w:val="00A37984"/>
    <w:rsid w:val="00A37F65"/>
    <w:rsid w:val="00A428DD"/>
    <w:rsid w:val="00A43507"/>
    <w:rsid w:val="00A435B5"/>
    <w:rsid w:val="00A43E47"/>
    <w:rsid w:val="00A47DE3"/>
    <w:rsid w:val="00A47E72"/>
    <w:rsid w:val="00A50B96"/>
    <w:rsid w:val="00A524B2"/>
    <w:rsid w:val="00A52778"/>
    <w:rsid w:val="00A52F9B"/>
    <w:rsid w:val="00A5444C"/>
    <w:rsid w:val="00A548E7"/>
    <w:rsid w:val="00A54B41"/>
    <w:rsid w:val="00A555FB"/>
    <w:rsid w:val="00A563ED"/>
    <w:rsid w:val="00A56447"/>
    <w:rsid w:val="00A5647D"/>
    <w:rsid w:val="00A615B8"/>
    <w:rsid w:val="00A62267"/>
    <w:rsid w:val="00A649F9"/>
    <w:rsid w:val="00A64C70"/>
    <w:rsid w:val="00A701B7"/>
    <w:rsid w:val="00A701F0"/>
    <w:rsid w:val="00A7058B"/>
    <w:rsid w:val="00A72AB6"/>
    <w:rsid w:val="00A734EE"/>
    <w:rsid w:val="00A743C4"/>
    <w:rsid w:val="00A76793"/>
    <w:rsid w:val="00A76E99"/>
    <w:rsid w:val="00A7716D"/>
    <w:rsid w:val="00A83DD7"/>
    <w:rsid w:val="00A84D1E"/>
    <w:rsid w:val="00A8599B"/>
    <w:rsid w:val="00A86B0A"/>
    <w:rsid w:val="00A90D79"/>
    <w:rsid w:val="00A945C5"/>
    <w:rsid w:val="00A94931"/>
    <w:rsid w:val="00A94C95"/>
    <w:rsid w:val="00AA043D"/>
    <w:rsid w:val="00AA10D3"/>
    <w:rsid w:val="00AA51F5"/>
    <w:rsid w:val="00AA7482"/>
    <w:rsid w:val="00AB099B"/>
    <w:rsid w:val="00AB15CB"/>
    <w:rsid w:val="00AB194D"/>
    <w:rsid w:val="00AB2291"/>
    <w:rsid w:val="00AB30DD"/>
    <w:rsid w:val="00AB4717"/>
    <w:rsid w:val="00AB5043"/>
    <w:rsid w:val="00AB5512"/>
    <w:rsid w:val="00AB6FBC"/>
    <w:rsid w:val="00AB78EC"/>
    <w:rsid w:val="00AC0160"/>
    <w:rsid w:val="00AC1122"/>
    <w:rsid w:val="00AC207F"/>
    <w:rsid w:val="00AC2B1C"/>
    <w:rsid w:val="00AC2BC2"/>
    <w:rsid w:val="00AC2C2E"/>
    <w:rsid w:val="00AC4B9A"/>
    <w:rsid w:val="00AD16A6"/>
    <w:rsid w:val="00AD33A7"/>
    <w:rsid w:val="00AD3A36"/>
    <w:rsid w:val="00AD47A5"/>
    <w:rsid w:val="00AD500C"/>
    <w:rsid w:val="00AD6236"/>
    <w:rsid w:val="00AD6F7A"/>
    <w:rsid w:val="00AE0F75"/>
    <w:rsid w:val="00AE1979"/>
    <w:rsid w:val="00AE2788"/>
    <w:rsid w:val="00AE3C96"/>
    <w:rsid w:val="00AE4709"/>
    <w:rsid w:val="00AE5B85"/>
    <w:rsid w:val="00AE6DE3"/>
    <w:rsid w:val="00AE6E0D"/>
    <w:rsid w:val="00AE7D41"/>
    <w:rsid w:val="00AF2AC9"/>
    <w:rsid w:val="00AF3884"/>
    <w:rsid w:val="00AF5A37"/>
    <w:rsid w:val="00AF6839"/>
    <w:rsid w:val="00B01463"/>
    <w:rsid w:val="00B03133"/>
    <w:rsid w:val="00B045D1"/>
    <w:rsid w:val="00B057CF"/>
    <w:rsid w:val="00B05CB2"/>
    <w:rsid w:val="00B063F8"/>
    <w:rsid w:val="00B07D9F"/>
    <w:rsid w:val="00B109ED"/>
    <w:rsid w:val="00B10BB3"/>
    <w:rsid w:val="00B11AB0"/>
    <w:rsid w:val="00B1446B"/>
    <w:rsid w:val="00B15C8D"/>
    <w:rsid w:val="00B16627"/>
    <w:rsid w:val="00B20A88"/>
    <w:rsid w:val="00B229BF"/>
    <w:rsid w:val="00B22BAE"/>
    <w:rsid w:val="00B24305"/>
    <w:rsid w:val="00B26921"/>
    <w:rsid w:val="00B3091F"/>
    <w:rsid w:val="00B3274C"/>
    <w:rsid w:val="00B3290D"/>
    <w:rsid w:val="00B338DF"/>
    <w:rsid w:val="00B33F81"/>
    <w:rsid w:val="00B35AA3"/>
    <w:rsid w:val="00B35B92"/>
    <w:rsid w:val="00B365C5"/>
    <w:rsid w:val="00B37480"/>
    <w:rsid w:val="00B4035F"/>
    <w:rsid w:val="00B44199"/>
    <w:rsid w:val="00B4429F"/>
    <w:rsid w:val="00B44F3B"/>
    <w:rsid w:val="00B44F94"/>
    <w:rsid w:val="00B45756"/>
    <w:rsid w:val="00B45AF0"/>
    <w:rsid w:val="00B468DA"/>
    <w:rsid w:val="00B46DB1"/>
    <w:rsid w:val="00B46DB5"/>
    <w:rsid w:val="00B506C3"/>
    <w:rsid w:val="00B55182"/>
    <w:rsid w:val="00B567F6"/>
    <w:rsid w:val="00B6101D"/>
    <w:rsid w:val="00B61C53"/>
    <w:rsid w:val="00B61DED"/>
    <w:rsid w:val="00B62CF9"/>
    <w:rsid w:val="00B633D4"/>
    <w:rsid w:val="00B64E03"/>
    <w:rsid w:val="00B65755"/>
    <w:rsid w:val="00B659EF"/>
    <w:rsid w:val="00B65E13"/>
    <w:rsid w:val="00B6606B"/>
    <w:rsid w:val="00B6635A"/>
    <w:rsid w:val="00B66B10"/>
    <w:rsid w:val="00B66E8F"/>
    <w:rsid w:val="00B67676"/>
    <w:rsid w:val="00B705E4"/>
    <w:rsid w:val="00B70E66"/>
    <w:rsid w:val="00B71F1E"/>
    <w:rsid w:val="00B74213"/>
    <w:rsid w:val="00B7509F"/>
    <w:rsid w:val="00B8452F"/>
    <w:rsid w:val="00B863C3"/>
    <w:rsid w:val="00B86D8A"/>
    <w:rsid w:val="00B87A5A"/>
    <w:rsid w:val="00B91629"/>
    <w:rsid w:val="00B921BC"/>
    <w:rsid w:val="00B941F6"/>
    <w:rsid w:val="00B94273"/>
    <w:rsid w:val="00B94A75"/>
    <w:rsid w:val="00B950B7"/>
    <w:rsid w:val="00B96D9F"/>
    <w:rsid w:val="00B96DD5"/>
    <w:rsid w:val="00B96F18"/>
    <w:rsid w:val="00B9704D"/>
    <w:rsid w:val="00B97268"/>
    <w:rsid w:val="00B97406"/>
    <w:rsid w:val="00B978D9"/>
    <w:rsid w:val="00B97BDA"/>
    <w:rsid w:val="00BA1FCA"/>
    <w:rsid w:val="00BA24C2"/>
    <w:rsid w:val="00BA3A5B"/>
    <w:rsid w:val="00BA4790"/>
    <w:rsid w:val="00BA4CA5"/>
    <w:rsid w:val="00BA5107"/>
    <w:rsid w:val="00BA60E9"/>
    <w:rsid w:val="00BA6E41"/>
    <w:rsid w:val="00BB16EE"/>
    <w:rsid w:val="00BB1AC8"/>
    <w:rsid w:val="00BB230D"/>
    <w:rsid w:val="00BB29D4"/>
    <w:rsid w:val="00BB3122"/>
    <w:rsid w:val="00BB5230"/>
    <w:rsid w:val="00BB5D78"/>
    <w:rsid w:val="00BB5F09"/>
    <w:rsid w:val="00BB693F"/>
    <w:rsid w:val="00BC1825"/>
    <w:rsid w:val="00BC1A3E"/>
    <w:rsid w:val="00BC2037"/>
    <w:rsid w:val="00BC2402"/>
    <w:rsid w:val="00BD32FE"/>
    <w:rsid w:val="00BD43E8"/>
    <w:rsid w:val="00BD6FCB"/>
    <w:rsid w:val="00BD7090"/>
    <w:rsid w:val="00BE0B27"/>
    <w:rsid w:val="00BE1D2D"/>
    <w:rsid w:val="00BE2E50"/>
    <w:rsid w:val="00BE5068"/>
    <w:rsid w:val="00BE655D"/>
    <w:rsid w:val="00BE7F82"/>
    <w:rsid w:val="00BF12CB"/>
    <w:rsid w:val="00BF1C95"/>
    <w:rsid w:val="00BF1E7F"/>
    <w:rsid w:val="00BF32E2"/>
    <w:rsid w:val="00BF34EF"/>
    <w:rsid w:val="00BF69D6"/>
    <w:rsid w:val="00BF6D42"/>
    <w:rsid w:val="00BF7FD4"/>
    <w:rsid w:val="00C01C7C"/>
    <w:rsid w:val="00C01FD5"/>
    <w:rsid w:val="00C0244A"/>
    <w:rsid w:val="00C035C2"/>
    <w:rsid w:val="00C03F11"/>
    <w:rsid w:val="00C045A3"/>
    <w:rsid w:val="00C04CE8"/>
    <w:rsid w:val="00C054E4"/>
    <w:rsid w:val="00C05D94"/>
    <w:rsid w:val="00C0659F"/>
    <w:rsid w:val="00C06704"/>
    <w:rsid w:val="00C0714E"/>
    <w:rsid w:val="00C0761E"/>
    <w:rsid w:val="00C11915"/>
    <w:rsid w:val="00C11EF0"/>
    <w:rsid w:val="00C122B0"/>
    <w:rsid w:val="00C12CA8"/>
    <w:rsid w:val="00C12FAA"/>
    <w:rsid w:val="00C13B12"/>
    <w:rsid w:val="00C13B40"/>
    <w:rsid w:val="00C13C61"/>
    <w:rsid w:val="00C15995"/>
    <w:rsid w:val="00C25D8F"/>
    <w:rsid w:val="00C27035"/>
    <w:rsid w:val="00C32B31"/>
    <w:rsid w:val="00C334CB"/>
    <w:rsid w:val="00C34178"/>
    <w:rsid w:val="00C37342"/>
    <w:rsid w:val="00C4038A"/>
    <w:rsid w:val="00C40496"/>
    <w:rsid w:val="00C409DF"/>
    <w:rsid w:val="00C4462A"/>
    <w:rsid w:val="00C46A3B"/>
    <w:rsid w:val="00C51E1A"/>
    <w:rsid w:val="00C5203D"/>
    <w:rsid w:val="00C53278"/>
    <w:rsid w:val="00C56E3E"/>
    <w:rsid w:val="00C60883"/>
    <w:rsid w:val="00C623FF"/>
    <w:rsid w:val="00C639CF"/>
    <w:rsid w:val="00C64D18"/>
    <w:rsid w:val="00C6787F"/>
    <w:rsid w:val="00C730F5"/>
    <w:rsid w:val="00C7567F"/>
    <w:rsid w:val="00C772E6"/>
    <w:rsid w:val="00C77F44"/>
    <w:rsid w:val="00C8159B"/>
    <w:rsid w:val="00C824DE"/>
    <w:rsid w:val="00C825D3"/>
    <w:rsid w:val="00C82BDD"/>
    <w:rsid w:val="00C8362D"/>
    <w:rsid w:val="00C8465A"/>
    <w:rsid w:val="00C855FA"/>
    <w:rsid w:val="00C86B4B"/>
    <w:rsid w:val="00C86BE2"/>
    <w:rsid w:val="00C87E1A"/>
    <w:rsid w:val="00C9072D"/>
    <w:rsid w:val="00C90D8D"/>
    <w:rsid w:val="00C91035"/>
    <w:rsid w:val="00C91ADC"/>
    <w:rsid w:val="00C92718"/>
    <w:rsid w:val="00C9277E"/>
    <w:rsid w:val="00C95674"/>
    <w:rsid w:val="00C96E09"/>
    <w:rsid w:val="00C97EF2"/>
    <w:rsid w:val="00CA0629"/>
    <w:rsid w:val="00CA5D69"/>
    <w:rsid w:val="00CA6AC1"/>
    <w:rsid w:val="00CA74E6"/>
    <w:rsid w:val="00CB1A74"/>
    <w:rsid w:val="00CB6655"/>
    <w:rsid w:val="00CB6D0C"/>
    <w:rsid w:val="00CC0FB7"/>
    <w:rsid w:val="00CC485D"/>
    <w:rsid w:val="00CD5774"/>
    <w:rsid w:val="00CD581C"/>
    <w:rsid w:val="00CE0961"/>
    <w:rsid w:val="00CE0AF4"/>
    <w:rsid w:val="00CE277E"/>
    <w:rsid w:val="00CE2B88"/>
    <w:rsid w:val="00CE3E5F"/>
    <w:rsid w:val="00CE532E"/>
    <w:rsid w:val="00CE6B3A"/>
    <w:rsid w:val="00CE7CED"/>
    <w:rsid w:val="00CF3C61"/>
    <w:rsid w:val="00CF3F6F"/>
    <w:rsid w:val="00CF4644"/>
    <w:rsid w:val="00CF4BF3"/>
    <w:rsid w:val="00CF5ECE"/>
    <w:rsid w:val="00CF749C"/>
    <w:rsid w:val="00D00660"/>
    <w:rsid w:val="00D01738"/>
    <w:rsid w:val="00D01DBF"/>
    <w:rsid w:val="00D0745E"/>
    <w:rsid w:val="00D13F4D"/>
    <w:rsid w:val="00D15807"/>
    <w:rsid w:val="00D169C2"/>
    <w:rsid w:val="00D16E11"/>
    <w:rsid w:val="00D17838"/>
    <w:rsid w:val="00D201FE"/>
    <w:rsid w:val="00D2391F"/>
    <w:rsid w:val="00D25E28"/>
    <w:rsid w:val="00D27149"/>
    <w:rsid w:val="00D31A2B"/>
    <w:rsid w:val="00D32376"/>
    <w:rsid w:val="00D333AF"/>
    <w:rsid w:val="00D35CA0"/>
    <w:rsid w:val="00D36072"/>
    <w:rsid w:val="00D40116"/>
    <w:rsid w:val="00D41249"/>
    <w:rsid w:val="00D4373F"/>
    <w:rsid w:val="00D43AA7"/>
    <w:rsid w:val="00D448B4"/>
    <w:rsid w:val="00D504C7"/>
    <w:rsid w:val="00D5180B"/>
    <w:rsid w:val="00D547FF"/>
    <w:rsid w:val="00D5507C"/>
    <w:rsid w:val="00D550CA"/>
    <w:rsid w:val="00D5670F"/>
    <w:rsid w:val="00D60DB0"/>
    <w:rsid w:val="00D61BB9"/>
    <w:rsid w:val="00D63082"/>
    <w:rsid w:val="00D64211"/>
    <w:rsid w:val="00D657D4"/>
    <w:rsid w:val="00D65DCF"/>
    <w:rsid w:val="00D72838"/>
    <w:rsid w:val="00D73E67"/>
    <w:rsid w:val="00D74B85"/>
    <w:rsid w:val="00D74F72"/>
    <w:rsid w:val="00D76C32"/>
    <w:rsid w:val="00D77C8B"/>
    <w:rsid w:val="00D77E9B"/>
    <w:rsid w:val="00D81BC0"/>
    <w:rsid w:val="00D83469"/>
    <w:rsid w:val="00D83CDA"/>
    <w:rsid w:val="00D84C81"/>
    <w:rsid w:val="00D925F0"/>
    <w:rsid w:val="00D95B6F"/>
    <w:rsid w:val="00DA1FB6"/>
    <w:rsid w:val="00DA3EE8"/>
    <w:rsid w:val="00DB1C53"/>
    <w:rsid w:val="00DB2203"/>
    <w:rsid w:val="00DB234B"/>
    <w:rsid w:val="00DB4141"/>
    <w:rsid w:val="00DB7E60"/>
    <w:rsid w:val="00DC079F"/>
    <w:rsid w:val="00DC0966"/>
    <w:rsid w:val="00DC2EE9"/>
    <w:rsid w:val="00DC511A"/>
    <w:rsid w:val="00DC6B2D"/>
    <w:rsid w:val="00DD3DD2"/>
    <w:rsid w:val="00DD5B47"/>
    <w:rsid w:val="00DD6A5F"/>
    <w:rsid w:val="00DD6B35"/>
    <w:rsid w:val="00DE07BE"/>
    <w:rsid w:val="00DE1D17"/>
    <w:rsid w:val="00DE2481"/>
    <w:rsid w:val="00DE298B"/>
    <w:rsid w:val="00DE303E"/>
    <w:rsid w:val="00DE5635"/>
    <w:rsid w:val="00DE66E5"/>
    <w:rsid w:val="00DE68CA"/>
    <w:rsid w:val="00DF6B54"/>
    <w:rsid w:val="00DF7B00"/>
    <w:rsid w:val="00E00F8D"/>
    <w:rsid w:val="00E03663"/>
    <w:rsid w:val="00E037D7"/>
    <w:rsid w:val="00E04DFA"/>
    <w:rsid w:val="00E06456"/>
    <w:rsid w:val="00E07972"/>
    <w:rsid w:val="00E10025"/>
    <w:rsid w:val="00E112A6"/>
    <w:rsid w:val="00E1206D"/>
    <w:rsid w:val="00E134D1"/>
    <w:rsid w:val="00E14C55"/>
    <w:rsid w:val="00E14EFD"/>
    <w:rsid w:val="00E16AD0"/>
    <w:rsid w:val="00E16D8A"/>
    <w:rsid w:val="00E16DC7"/>
    <w:rsid w:val="00E205FC"/>
    <w:rsid w:val="00E22D0C"/>
    <w:rsid w:val="00E2408E"/>
    <w:rsid w:val="00E24DEE"/>
    <w:rsid w:val="00E25D34"/>
    <w:rsid w:val="00E27A6E"/>
    <w:rsid w:val="00E321AC"/>
    <w:rsid w:val="00E35B4D"/>
    <w:rsid w:val="00E35D30"/>
    <w:rsid w:val="00E36903"/>
    <w:rsid w:val="00E37D3A"/>
    <w:rsid w:val="00E40E5F"/>
    <w:rsid w:val="00E41B4D"/>
    <w:rsid w:val="00E42218"/>
    <w:rsid w:val="00E424FA"/>
    <w:rsid w:val="00E43D8E"/>
    <w:rsid w:val="00E44BB9"/>
    <w:rsid w:val="00E4521D"/>
    <w:rsid w:val="00E470B7"/>
    <w:rsid w:val="00E47AB5"/>
    <w:rsid w:val="00E5049C"/>
    <w:rsid w:val="00E51FB6"/>
    <w:rsid w:val="00E53DF4"/>
    <w:rsid w:val="00E5640D"/>
    <w:rsid w:val="00E565DC"/>
    <w:rsid w:val="00E5671D"/>
    <w:rsid w:val="00E57A32"/>
    <w:rsid w:val="00E6016C"/>
    <w:rsid w:val="00E638FD"/>
    <w:rsid w:val="00E64CF9"/>
    <w:rsid w:val="00E65332"/>
    <w:rsid w:val="00E65C44"/>
    <w:rsid w:val="00E66713"/>
    <w:rsid w:val="00E66D09"/>
    <w:rsid w:val="00E66DBD"/>
    <w:rsid w:val="00E6709B"/>
    <w:rsid w:val="00E6789C"/>
    <w:rsid w:val="00E701F6"/>
    <w:rsid w:val="00E727DE"/>
    <w:rsid w:val="00E72DA3"/>
    <w:rsid w:val="00E72E78"/>
    <w:rsid w:val="00E745D1"/>
    <w:rsid w:val="00E74FEE"/>
    <w:rsid w:val="00E759A2"/>
    <w:rsid w:val="00E75E15"/>
    <w:rsid w:val="00E760BF"/>
    <w:rsid w:val="00E7681F"/>
    <w:rsid w:val="00E7718B"/>
    <w:rsid w:val="00E77EE1"/>
    <w:rsid w:val="00E83266"/>
    <w:rsid w:val="00E83408"/>
    <w:rsid w:val="00E847A4"/>
    <w:rsid w:val="00E868EE"/>
    <w:rsid w:val="00E92E82"/>
    <w:rsid w:val="00E931B2"/>
    <w:rsid w:val="00E9623E"/>
    <w:rsid w:val="00EA08DE"/>
    <w:rsid w:val="00EA2DE2"/>
    <w:rsid w:val="00EA3033"/>
    <w:rsid w:val="00EA31CE"/>
    <w:rsid w:val="00EA3413"/>
    <w:rsid w:val="00EA57BA"/>
    <w:rsid w:val="00EB078C"/>
    <w:rsid w:val="00EB0F6D"/>
    <w:rsid w:val="00EB21C9"/>
    <w:rsid w:val="00EB2F5E"/>
    <w:rsid w:val="00EB3101"/>
    <w:rsid w:val="00EB3336"/>
    <w:rsid w:val="00EB70B8"/>
    <w:rsid w:val="00EB765C"/>
    <w:rsid w:val="00EC0AEA"/>
    <w:rsid w:val="00EC362B"/>
    <w:rsid w:val="00EC65C0"/>
    <w:rsid w:val="00EC6FA7"/>
    <w:rsid w:val="00EC7A26"/>
    <w:rsid w:val="00ED0B37"/>
    <w:rsid w:val="00ED0D7F"/>
    <w:rsid w:val="00ED0EB1"/>
    <w:rsid w:val="00ED19C9"/>
    <w:rsid w:val="00ED234A"/>
    <w:rsid w:val="00ED37AA"/>
    <w:rsid w:val="00ED38FB"/>
    <w:rsid w:val="00ED5835"/>
    <w:rsid w:val="00ED5EF7"/>
    <w:rsid w:val="00ED6082"/>
    <w:rsid w:val="00ED6C75"/>
    <w:rsid w:val="00ED7203"/>
    <w:rsid w:val="00ED79A0"/>
    <w:rsid w:val="00EE1138"/>
    <w:rsid w:val="00EE626E"/>
    <w:rsid w:val="00EE6465"/>
    <w:rsid w:val="00EE6500"/>
    <w:rsid w:val="00EF19F7"/>
    <w:rsid w:val="00EF2BD8"/>
    <w:rsid w:val="00EF2F97"/>
    <w:rsid w:val="00EF361A"/>
    <w:rsid w:val="00EF5200"/>
    <w:rsid w:val="00EF546B"/>
    <w:rsid w:val="00EF54DE"/>
    <w:rsid w:val="00EF5D8D"/>
    <w:rsid w:val="00EF6FBD"/>
    <w:rsid w:val="00EF7E90"/>
    <w:rsid w:val="00F027C0"/>
    <w:rsid w:val="00F02E8E"/>
    <w:rsid w:val="00F03ECF"/>
    <w:rsid w:val="00F04A8B"/>
    <w:rsid w:val="00F06DE7"/>
    <w:rsid w:val="00F10023"/>
    <w:rsid w:val="00F1043A"/>
    <w:rsid w:val="00F1247D"/>
    <w:rsid w:val="00F124AE"/>
    <w:rsid w:val="00F17F03"/>
    <w:rsid w:val="00F20E97"/>
    <w:rsid w:val="00F2118F"/>
    <w:rsid w:val="00F22F1F"/>
    <w:rsid w:val="00F237E1"/>
    <w:rsid w:val="00F2450A"/>
    <w:rsid w:val="00F30654"/>
    <w:rsid w:val="00F306ED"/>
    <w:rsid w:val="00F30C54"/>
    <w:rsid w:val="00F31833"/>
    <w:rsid w:val="00F3386D"/>
    <w:rsid w:val="00F359DF"/>
    <w:rsid w:val="00F36AB6"/>
    <w:rsid w:val="00F37B76"/>
    <w:rsid w:val="00F37B99"/>
    <w:rsid w:val="00F42370"/>
    <w:rsid w:val="00F42C79"/>
    <w:rsid w:val="00F4476F"/>
    <w:rsid w:val="00F45EA5"/>
    <w:rsid w:val="00F467B4"/>
    <w:rsid w:val="00F47BCA"/>
    <w:rsid w:val="00F50C3A"/>
    <w:rsid w:val="00F52DB4"/>
    <w:rsid w:val="00F5311B"/>
    <w:rsid w:val="00F54251"/>
    <w:rsid w:val="00F54EE0"/>
    <w:rsid w:val="00F54F64"/>
    <w:rsid w:val="00F61686"/>
    <w:rsid w:val="00F632B1"/>
    <w:rsid w:val="00F6631D"/>
    <w:rsid w:val="00F66975"/>
    <w:rsid w:val="00F73753"/>
    <w:rsid w:val="00F73A41"/>
    <w:rsid w:val="00F73B42"/>
    <w:rsid w:val="00F747D6"/>
    <w:rsid w:val="00F76908"/>
    <w:rsid w:val="00F818A2"/>
    <w:rsid w:val="00F822F4"/>
    <w:rsid w:val="00F82CC2"/>
    <w:rsid w:val="00F84068"/>
    <w:rsid w:val="00F85370"/>
    <w:rsid w:val="00F85BA4"/>
    <w:rsid w:val="00F9093C"/>
    <w:rsid w:val="00F91136"/>
    <w:rsid w:val="00F9199B"/>
    <w:rsid w:val="00F91A1D"/>
    <w:rsid w:val="00F91EE4"/>
    <w:rsid w:val="00F92020"/>
    <w:rsid w:val="00F92C1F"/>
    <w:rsid w:val="00F93646"/>
    <w:rsid w:val="00F9420B"/>
    <w:rsid w:val="00F95C95"/>
    <w:rsid w:val="00F96110"/>
    <w:rsid w:val="00F978C2"/>
    <w:rsid w:val="00F97FCA"/>
    <w:rsid w:val="00FA025B"/>
    <w:rsid w:val="00FA2388"/>
    <w:rsid w:val="00FA3267"/>
    <w:rsid w:val="00FA3886"/>
    <w:rsid w:val="00FA3D0B"/>
    <w:rsid w:val="00FA7455"/>
    <w:rsid w:val="00FB01B4"/>
    <w:rsid w:val="00FB02F7"/>
    <w:rsid w:val="00FB0732"/>
    <w:rsid w:val="00FB1A50"/>
    <w:rsid w:val="00FB59D0"/>
    <w:rsid w:val="00FB6630"/>
    <w:rsid w:val="00FB681E"/>
    <w:rsid w:val="00FB7EBB"/>
    <w:rsid w:val="00FC26DF"/>
    <w:rsid w:val="00FC3CE1"/>
    <w:rsid w:val="00FC795E"/>
    <w:rsid w:val="00FC7A01"/>
    <w:rsid w:val="00FC7A5F"/>
    <w:rsid w:val="00FD096A"/>
    <w:rsid w:val="00FD29DB"/>
    <w:rsid w:val="00FD3849"/>
    <w:rsid w:val="00FD5B62"/>
    <w:rsid w:val="00FD5BC4"/>
    <w:rsid w:val="00FD6DCD"/>
    <w:rsid w:val="00FE39D9"/>
    <w:rsid w:val="00FE414C"/>
    <w:rsid w:val="00FE4290"/>
    <w:rsid w:val="00FE5F75"/>
    <w:rsid w:val="00FE6991"/>
    <w:rsid w:val="00FE7668"/>
    <w:rsid w:val="00FE784A"/>
    <w:rsid w:val="00FF1168"/>
    <w:rsid w:val="00FF2328"/>
    <w:rsid w:val="00FF3A1C"/>
    <w:rsid w:val="00FF52DD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EB5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780EB5"/>
    <w:pPr>
      <w:keepNext/>
      <w:jc w:val="center"/>
      <w:outlineLvl w:val="0"/>
    </w:pPr>
    <w:rPr>
      <w:rFonts w:cs="David"/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893CA6"/>
    <w:pPr>
      <w:keepNext/>
      <w:spacing w:line="360" w:lineRule="auto"/>
      <w:outlineLvl w:val="1"/>
    </w:pPr>
    <w:rPr>
      <w:rFonts w:asciiTheme="minorBidi" w:hAnsiTheme="minorBidi" w:cstheme="minorBidi"/>
      <w:b/>
      <w:bCs/>
      <w:color w:val="943634" w:themeColor="accent2" w:themeShade="BF"/>
      <w:sz w:val="30"/>
      <w:szCs w:val="30"/>
    </w:rPr>
  </w:style>
  <w:style w:type="paragraph" w:styleId="Heading5">
    <w:name w:val="heading 5"/>
    <w:basedOn w:val="Normal"/>
    <w:next w:val="Normal"/>
    <w:qFormat/>
    <w:rsid w:val="00780EB5"/>
    <w:pPr>
      <w:keepNext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780EB5"/>
    <w:pPr>
      <w:keepNext/>
      <w:spacing w:line="360" w:lineRule="auto"/>
      <w:jc w:val="both"/>
      <w:outlineLvl w:val="5"/>
    </w:pPr>
    <w:rPr>
      <w:rFonts w:cs="David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780EB5"/>
    <w:pPr>
      <w:keepNext/>
      <w:jc w:val="right"/>
      <w:outlineLvl w:val="7"/>
    </w:pPr>
    <w:rPr>
      <w:rFonts w:cs="Dav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80EB5"/>
    <w:pPr>
      <w:jc w:val="both"/>
    </w:pPr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780EB5"/>
    <w:pPr>
      <w:tabs>
        <w:tab w:val="center" w:pos="4153"/>
        <w:tab w:val="right" w:pos="8306"/>
      </w:tabs>
    </w:pPr>
    <w:rPr>
      <w:rFonts w:cs="David"/>
      <w:b/>
      <w:bCs/>
      <w:szCs w:val="26"/>
    </w:rPr>
  </w:style>
  <w:style w:type="paragraph" w:styleId="BodyText">
    <w:name w:val="Body Text"/>
    <w:basedOn w:val="Normal"/>
    <w:rsid w:val="00780EB5"/>
    <w:pPr>
      <w:spacing w:line="360" w:lineRule="auto"/>
      <w:jc w:val="both"/>
    </w:pPr>
    <w:rPr>
      <w:rFonts w:cs="David"/>
      <w:sz w:val="26"/>
      <w:szCs w:val="26"/>
    </w:rPr>
  </w:style>
  <w:style w:type="character" w:styleId="PageNumber">
    <w:name w:val="page number"/>
    <w:basedOn w:val="DefaultParagraphFont"/>
    <w:rsid w:val="00780EB5"/>
  </w:style>
  <w:style w:type="paragraph" w:styleId="Header">
    <w:name w:val="header"/>
    <w:basedOn w:val="Normal"/>
    <w:link w:val="HeaderChar"/>
    <w:rsid w:val="00780EB5"/>
    <w:pPr>
      <w:tabs>
        <w:tab w:val="center" w:pos="4153"/>
        <w:tab w:val="right" w:pos="8306"/>
      </w:tabs>
    </w:pPr>
    <w:rPr>
      <w:rFonts w:cs="David"/>
      <w:b/>
      <w:bCs/>
      <w:szCs w:val="26"/>
    </w:rPr>
  </w:style>
  <w:style w:type="paragraph" w:styleId="FootnoteText">
    <w:name w:val="footnote text"/>
    <w:basedOn w:val="Normal"/>
    <w:semiHidden/>
    <w:rsid w:val="00780EB5"/>
    <w:rPr>
      <w:sz w:val="20"/>
      <w:szCs w:val="20"/>
    </w:rPr>
  </w:style>
  <w:style w:type="character" w:styleId="FootnoteReference">
    <w:name w:val="footnote reference"/>
    <w:semiHidden/>
    <w:rsid w:val="00780EB5"/>
    <w:rPr>
      <w:vertAlign w:val="superscript"/>
    </w:rPr>
  </w:style>
  <w:style w:type="paragraph" w:styleId="Caption">
    <w:name w:val="caption"/>
    <w:basedOn w:val="Normal"/>
    <w:next w:val="Normal"/>
    <w:qFormat/>
    <w:rsid w:val="00887549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E24DEE"/>
    <w:rPr>
      <w:rFonts w:ascii="Tahoma" w:hAnsi="Tahoma" w:cs="Tahoma"/>
      <w:sz w:val="16"/>
      <w:szCs w:val="16"/>
    </w:rPr>
  </w:style>
  <w:style w:type="character" w:styleId="Hyperlink">
    <w:name w:val="Hyperlink"/>
    <w:rsid w:val="001F64A9"/>
    <w:rPr>
      <w:color w:val="0000FF"/>
      <w:u w:val="single"/>
    </w:rPr>
  </w:style>
  <w:style w:type="character" w:styleId="FollowedHyperlink">
    <w:name w:val="FollowedHyperlink"/>
    <w:rsid w:val="003762ED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rsid w:val="00185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85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rsid w:val="00893CA6"/>
    <w:rPr>
      <w:rFonts w:asciiTheme="minorBidi" w:hAnsiTheme="minorBidi" w:cstheme="minorBidi"/>
      <w:b/>
      <w:bCs/>
      <w:color w:val="943634" w:themeColor="accent2" w:themeShade="BF"/>
      <w:sz w:val="30"/>
      <w:szCs w:val="30"/>
      <w:lang w:eastAsia="he-IL"/>
    </w:rPr>
  </w:style>
  <w:style w:type="paragraph" w:styleId="ListParagraph">
    <w:name w:val="List Paragraph"/>
    <w:basedOn w:val="Normal"/>
    <w:uiPriority w:val="34"/>
    <w:qFormat/>
    <w:rsid w:val="00AF2AC9"/>
    <w:pPr>
      <w:spacing w:line="360" w:lineRule="auto"/>
      <w:ind w:left="720"/>
      <w:contextualSpacing/>
    </w:pPr>
    <w:rPr>
      <w:rFonts w:asciiTheme="minorBidi" w:hAnsiTheme="minorBidi" w:cstheme="minorBidi"/>
    </w:rPr>
  </w:style>
  <w:style w:type="character" w:customStyle="1" w:styleId="HeaderChar">
    <w:name w:val="Header Char"/>
    <w:basedOn w:val="DefaultParagraphFont"/>
    <w:link w:val="Header"/>
    <w:rsid w:val="003B3AA9"/>
    <w:rPr>
      <w:rFonts w:cs="David"/>
      <w:b/>
      <w:bCs/>
      <w:sz w:val="24"/>
      <w:szCs w:val="26"/>
      <w:lang w:eastAsia="he-IL"/>
    </w:rPr>
  </w:style>
  <w:style w:type="paragraph" w:styleId="EndnoteText">
    <w:name w:val="endnote text"/>
    <w:basedOn w:val="Normal"/>
    <w:link w:val="EndnoteTextChar"/>
    <w:rsid w:val="001B4E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B4E90"/>
    <w:rPr>
      <w:lang w:eastAsia="he-IL"/>
    </w:rPr>
  </w:style>
  <w:style w:type="character" w:styleId="EndnoteReference">
    <w:name w:val="endnote reference"/>
    <w:basedOn w:val="DefaultParagraphFont"/>
    <w:rsid w:val="001B4E9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5235D"/>
    <w:rPr>
      <w:rFonts w:cs="David"/>
      <w:b/>
      <w:bCs/>
      <w:sz w:val="24"/>
      <w:szCs w:val="26"/>
      <w:lang w:eastAsia="he-IL"/>
    </w:rPr>
  </w:style>
  <w:style w:type="paragraph" w:customStyle="1" w:styleId="3">
    <w:name w:val="כותר 3"/>
    <w:basedOn w:val="Heading2"/>
    <w:link w:val="30"/>
    <w:qFormat/>
    <w:rsid w:val="00C12CA8"/>
    <w:pPr>
      <w:ind w:left="-52"/>
    </w:pPr>
    <w:rPr>
      <w:rFonts w:ascii="Arial" w:hAnsi="Arial"/>
      <w:color w:val="0070C0"/>
      <w:szCs w:val="26"/>
      <w:lang w:eastAsia="en-US"/>
      <w14:textFill>
        <w14:solidFill>
          <w14:srgbClr w14:val="0070C0">
            <w14:lumMod w14:val="75000"/>
          </w14:srgbClr>
        </w14:solidFill>
      </w14:textFill>
    </w:rPr>
  </w:style>
  <w:style w:type="paragraph" w:customStyle="1" w:styleId="4">
    <w:name w:val="כותר 4"/>
    <w:basedOn w:val="Heading2"/>
    <w:link w:val="40"/>
    <w:qFormat/>
    <w:rsid w:val="00893CA6"/>
    <w:rPr>
      <w:color w:val="000000"/>
      <w:szCs w:val="24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30">
    <w:name w:val="כותר 3 תו"/>
    <w:basedOn w:val="Heading2Char"/>
    <w:link w:val="3"/>
    <w:rsid w:val="00C12CA8"/>
    <w:rPr>
      <w:rFonts w:ascii="Arial" w:hAnsi="Arial" w:cstheme="minorBidi"/>
      <w:b/>
      <w:bCs/>
      <w:color w:val="0070C0"/>
      <w:sz w:val="30"/>
      <w:szCs w:val="26"/>
      <w:lang w:eastAsia="he-IL"/>
      <w14:textFill>
        <w14:solidFill>
          <w14:srgbClr w14:val="0070C0">
            <w14:lumMod w14:val="75000"/>
          </w14:srgbClr>
        </w14:solidFill>
      </w14:textFill>
    </w:rPr>
  </w:style>
  <w:style w:type="paragraph" w:customStyle="1" w:styleId="313">
    <w:name w:val="סגנון כותר 3 + ‏13 נק'"/>
    <w:basedOn w:val="3"/>
    <w:rsid w:val="00893CA6"/>
    <w:rPr>
      <w:sz w:val="26"/>
    </w:rPr>
  </w:style>
  <w:style w:type="character" w:customStyle="1" w:styleId="40">
    <w:name w:val="כותר 4 תו"/>
    <w:basedOn w:val="Heading2Char"/>
    <w:link w:val="4"/>
    <w:rsid w:val="00893CA6"/>
    <w:rPr>
      <w:rFonts w:asciiTheme="minorBidi" w:hAnsiTheme="minorBidi" w:cstheme="minorBidi"/>
      <w:b/>
      <w:bCs/>
      <w:color w:val="000000"/>
      <w:sz w:val="30"/>
      <w:szCs w:val="24"/>
      <w:lang w:eastAsia="he-IL"/>
      <w14:textFill>
        <w14:solidFill>
          <w14:srgbClr w14:val="000000">
            <w14:lumMod w14:val="75000"/>
          </w14:srgbClr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EB5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780EB5"/>
    <w:pPr>
      <w:keepNext/>
      <w:jc w:val="center"/>
      <w:outlineLvl w:val="0"/>
    </w:pPr>
    <w:rPr>
      <w:rFonts w:cs="David"/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893CA6"/>
    <w:pPr>
      <w:keepNext/>
      <w:spacing w:line="360" w:lineRule="auto"/>
      <w:outlineLvl w:val="1"/>
    </w:pPr>
    <w:rPr>
      <w:rFonts w:asciiTheme="minorBidi" w:hAnsiTheme="minorBidi" w:cstheme="minorBidi"/>
      <w:b/>
      <w:bCs/>
      <w:color w:val="943634" w:themeColor="accent2" w:themeShade="BF"/>
      <w:sz w:val="30"/>
      <w:szCs w:val="30"/>
    </w:rPr>
  </w:style>
  <w:style w:type="paragraph" w:styleId="Heading5">
    <w:name w:val="heading 5"/>
    <w:basedOn w:val="Normal"/>
    <w:next w:val="Normal"/>
    <w:qFormat/>
    <w:rsid w:val="00780EB5"/>
    <w:pPr>
      <w:keepNext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780EB5"/>
    <w:pPr>
      <w:keepNext/>
      <w:spacing w:line="360" w:lineRule="auto"/>
      <w:jc w:val="both"/>
      <w:outlineLvl w:val="5"/>
    </w:pPr>
    <w:rPr>
      <w:rFonts w:cs="David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780EB5"/>
    <w:pPr>
      <w:keepNext/>
      <w:jc w:val="right"/>
      <w:outlineLvl w:val="7"/>
    </w:pPr>
    <w:rPr>
      <w:rFonts w:cs="Dav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80EB5"/>
    <w:pPr>
      <w:jc w:val="both"/>
    </w:pPr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780EB5"/>
    <w:pPr>
      <w:tabs>
        <w:tab w:val="center" w:pos="4153"/>
        <w:tab w:val="right" w:pos="8306"/>
      </w:tabs>
    </w:pPr>
    <w:rPr>
      <w:rFonts w:cs="David"/>
      <w:b/>
      <w:bCs/>
      <w:szCs w:val="26"/>
    </w:rPr>
  </w:style>
  <w:style w:type="paragraph" w:styleId="BodyText">
    <w:name w:val="Body Text"/>
    <w:basedOn w:val="Normal"/>
    <w:rsid w:val="00780EB5"/>
    <w:pPr>
      <w:spacing w:line="360" w:lineRule="auto"/>
      <w:jc w:val="both"/>
    </w:pPr>
    <w:rPr>
      <w:rFonts w:cs="David"/>
      <w:sz w:val="26"/>
      <w:szCs w:val="26"/>
    </w:rPr>
  </w:style>
  <w:style w:type="character" w:styleId="PageNumber">
    <w:name w:val="page number"/>
    <w:basedOn w:val="DefaultParagraphFont"/>
    <w:rsid w:val="00780EB5"/>
  </w:style>
  <w:style w:type="paragraph" w:styleId="Header">
    <w:name w:val="header"/>
    <w:basedOn w:val="Normal"/>
    <w:link w:val="HeaderChar"/>
    <w:rsid w:val="00780EB5"/>
    <w:pPr>
      <w:tabs>
        <w:tab w:val="center" w:pos="4153"/>
        <w:tab w:val="right" w:pos="8306"/>
      </w:tabs>
    </w:pPr>
    <w:rPr>
      <w:rFonts w:cs="David"/>
      <w:b/>
      <w:bCs/>
      <w:szCs w:val="26"/>
    </w:rPr>
  </w:style>
  <w:style w:type="paragraph" w:styleId="FootnoteText">
    <w:name w:val="footnote text"/>
    <w:basedOn w:val="Normal"/>
    <w:semiHidden/>
    <w:rsid w:val="00780EB5"/>
    <w:rPr>
      <w:sz w:val="20"/>
      <w:szCs w:val="20"/>
    </w:rPr>
  </w:style>
  <w:style w:type="character" w:styleId="FootnoteReference">
    <w:name w:val="footnote reference"/>
    <w:semiHidden/>
    <w:rsid w:val="00780EB5"/>
    <w:rPr>
      <w:vertAlign w:val="superscript"/>
    </w:rPr>
  </w:style>
  <w:style w:type="paragraph" w:styleId="Caption">
    <w:name w:val="caption"/>
    <w:basedOn w:val="Normal"/>
    <w:next w:val="Normal"/>
    <w:qFormat/>
    <w:rsid w:val="00887549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E24DEE"/>
    <w:rPr>
      <w:rFonts w:ascii="Tahoma" w:hAnsi="Tahoma" w:cs="Tahoma"/>
      <w:sz w:val="16"/>
      <w:szCs w:val="16"/>
    </w:rPr>
  </w:style>
  <w:style w:type="character" w:styleId="Hyperlink">
    <w:name w:val="Hyperlink"/>
    <w:rsid w:val="001F64A9"/>
    <w:rPr>
      <w:color w:val="0000FF"/>
      <w:u w:val="single"/>
    </w:rPr>
  </w:style>
  <w:style w:type="character" w:styleId="FollowedHyperlink">
    <w:name w:val="FollowedHyperlink"/>
    <w:rsid w:val="003762ED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rsid w:val="00185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85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rsid w:val="00893CA6"/>
    <w:rPr>
      <w:rFonts w:asciiTheme="minorBidi" w:hAnsiTheme="minorBidi" w:cstheme="minorBidi"/>
      <w:b/>
      <w:bCs/>
      <w:color w:val="943634" w:themeColor="accent2" w:themeShade="BF"/>
      <w:sz w:val="30"/>
      <w:szCs w:val="30"/>
      <w:lang w:eastAsia="he-IL"/>
    </w:rPr>
  </w:style>
  <w:style w:type="paragraph" w:styleId="ListParagraph">
    <w:name w:val="List Paragraph"/>
    <w:basedOn w:val="Normal"/>
    <w:uiPriority w:val="34"/>
    <w:qFormat/>
    <w:rsid w:val="00AF2AC9"/>
    <w:pPr>
      <w:spacing w:line="360" w:lineRule="auto"/>
      <w:ind w:left="720"/>
      <w:contextualSpacing/>
    </w:pPr>
    <w:rPr>
      <w:rFonts w:asciiTheme="minorBidi" w:hAnsiTheme="minorBidi" w:cstheme="minorBidi"/>
    </w:rPr>
  </w:style>
  <w:style w:type="character" w:customStyle="1" w:styleId="HeaderChar">
    <w:name w:val="Header Char"/>
    <w:basedOn w:val="DefaultParagraphFont"/>
    <w:link w:val="Header"/>
    <w:rsid w:val="003B3AA9"/>
    <w:rPr>
      <w:rFonts w:cs="David"/>
      <w:b/>
      <w:bCs/>
      <w:sz w:val="24"/>
      <w:szCs w:val="26"/>
      <w:lang w:eastAsia="he-IL"/>
    </w:rPr>
  </w:style>
  <w:style w:type="paragraph" w:styleId="EndnoteText">
    <w:name w:val="endnote text"/>
    <w:basedOn w:val="Normal"/>
    <w:link w:val="EndnoteTextChar"/>
    <w:rsid w:val="001B4E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B4E90"/>
    <w:rPr>
      <w:lang w:eastAsia="he-IL"/>
    </w:rPr>
  </w:style>
  <w:style w:type="character" w:styleId="EndnoteReference">
    <w:name w:val="endnote reference"/>
    <w:basedOn w:val="DefaultParagraphFont"/>
    <w:rsid w:val="001B4E9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5235D"/>
    <w:rPr>
      <w:rFonts w:cs="David"/>
      <w:b/>
      <w:bCs/>
      <w:sz w:val="24"/>
      <w:szCs w:val="26"/>
      <w:lang w:eastAsia="he-IL"/>
    </w:rPr>
  </w:style>
  <w:style w:type="paragraph" w:customStyle="1" w:styleId="3">
    <w:name w:val="כותר 3"/>
    <w:basedOn w:val="Heading2"/>
    <w:link w:val="30"/>
    <w:qFormat/>
    <w:rsid w:val="00C12CA8"/>
    <w:pPr>
      <w:ind w:left="-52"/>
    </w:pPr>
    <w:rPr>
      <w:rFonts w:ascii="Arial" w:hAnsi="Arial"/>
      <w:color w:val="0070C0"/>
      <w:szCs w:val="26"/>
      <w:lang w:eastAsia="en-US"/>
      <w14:textFill>
        <w14:solidFill>
          <w14:srgbClr w14:val="0070C0">
            <w14:lumMod w14:val="75000"/>
          </w14:srgbClr>
        </w14:solidFill>
      </w14:textFill>
    </w:rPr>
  </w:style>
  <w:style w:type="paragraph" w:customStyle="1" w:styleId="4">
    <w:name w:val="כותר 4"/>
    <w:basedOn w:val="Heading2"/>
    <w:link w:val="40"/>
    <w:qFormat/>
    <w:rsid w:val="00893CA6"/>
    <w:rPr>
      <w:color w:val="000000"/>
      <w:szCs w:val="24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30">
    <w:name w:val="כותר 3 תו"/>
    <w:basedOn w:val="Heading2Char"/>
    <w:link w:val="3"/>
    <w:rsid w:val="00C12CA8"/>
    <w:rPr>
      <w:rFonts w:ascii="Arial" w:hAnsi="Arial" w:cstheme="minorBidi"/>
      <w:b/>
      <w:bCs/>
      <w:color w:val="0070C0"/>
      <w:sz w:val="30"/>
      <w:szCs w:val="26"/>
      <w:lang w:eastAsia="he-IL"/>
      <w14:textFill>
        <w14:solidFill>
          <w14:srgbClr w14:val="0070C0">
            <w14:lumMod w14:val="75000"/>
          </w14:srgbClr>
        </w14:solidFill>
      </w14:textFill>
    </w:rPr>
  </w:style>
  <w:style w:type="paragraph" w:customStyle="1" w:styleId="313">
    <w:name w:val="סגנון כותר 3 + ‏13 נק'"/>
    <w:basedOn w:val="3"/>
    <w:rsid w:val="00893CA6"/>
    <w:rPr>
      <w:sz w:val="26"/>
    </w:rPr>
  </w:style>
  <w:style w:type="character" w:customStyle="1" w:styleId="40">
    <w:name w:val="כותר 4 תו"/>
    <w:basedOn w:val="Heading2Char"/>
    <w:link w:val="4"/>
    <w:rsid w:val="00893CA6"/>
    <w:rPr>
      <w:rFonts w:asciiTheme="minorBidi" w:hAnsiTheme="minorBidi" w:cstheme="minorBidi"/>
      <w:b/>
      <w:bCs/>
      <w:color w:val="000000"/>
      <w:sz w:val="30"/>
      <w:szCs w:val="24"/>
      <w:lang w:eastAsia="he-IL"/>
      <w14:textFill>
        <w14:solidFill>
          <w14:srgbClr w14:val="000000">
            <w14:lumMod w14:val="7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cbs.gov.il/he/mediarelease/doclib/2019/078/09_19_078t8.pdf" TargetMode="External"/><Relationship Id="rId17" Type="http://schemas.openxmlformats.org/officeDocument/2006/relationships/image" Target="media/image6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bs.gov.il/he/mediarelease/doclib/2019/078/09_19_078t7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cbs.gov.il/he/mediarelease/pages/2019/&#1505;&#1497;&#1499;&#1493;&#1501;-&#1502;&#1488;&#1494;&#1503;-&#1492;&#1514;&#1513;&#1500;&#1493;&#1502;&#1497;&#1501;-&#1513;&#1500;-&#1497;&#1513;&#1512;&#1488;&#1500;-&#1500;&#1513;&#1504;&#1514;-2018.asp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s.gov.il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sDataSource xmlns="f37fff55-d014-472b-b062-823f736a4040" xsi:nil="true"/>
    <CbsDocArticleVariationRelUrlEng xmlns="f37fff55-d014-472b-b062-823f736a4040">/en/mediarelease/Pages/2019/Foreign-Direct-Investment-in-Israel-and-Direct-Investment-Abroad-by-Industries-and-Countries-2015-2017.aspx</CbsDocArticleVariationRelUrlEng>
    <CbsDocArticleVariationRelUrl xmlns="f37fff55-d014-472b-b062-823f736a4040">/he/mediarelease/Pages/2019/השקעות-ישירות-של-ישראל-בחול-ושל-חול-בישראל-לפי-ענפי-כלכלה-ולפי-מדינות-2017-2015.aspx</CbsDocArticleVariationRelUrl>
    <PublishingRollupImage xmlns="http://schemas.microsoft.com/sharepoint/v3" xsi:nil="true"/>
    <CbsOrderField xmlns="f37fff55-d014-472b-b062-823f736a4040">0</CbsOrderField>
    <CbsPublishingDocChapter xmlns="f37fff55-d014-472b-b062-823f736a4040">מאמר</CbsPublishingDocChapter>
    <CbsHide xmlns="f37fff55-d014-472b-b062-823f736a4040">false</CbsHide>
    <CbsEnglishTitle xmlns="f37fff55-d014-472b-b062-823f736a4040">Foreign Direct Investment in Israel and Direct Investment Abroad by Industries and Countries 2015-2017</CbsEnglishTitle>
    <CbsPublishingDocSubjectEng xmlns="f37fff55-d014-472b-b062-823f736a4040" xsi:nil="true"/>
    <CbsPublishingDocChapterEng xmlns="f37fff55-d014-472b-b062-823f736a4040">Article</CbsPublishingDocChapterEng>
    <CbsDataPublishDate xmlns="f37fff55-d014-472b-b062-823f736a4040">2019-04-07T10:00:00+00:00</CbsDataPublishDate>
    <CbsPublishingDocSubject xmlns="f37fff55-d014-472b-b062-823f736a4040" xsi:nil="true"/>
    <eWaveListOrderValue xmlns="http://schemas.microsoft.com/sharepoint/v3" xsi:nil="true"/>
    <badce114fb994f27a777030e336d1efa xmlns="f37fff55-d014-472b-b062-823f736a4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מאזן התשלומים</TermName>
          <TermId xmlns="http://schemas.microsoft.com/office/infopath/2007/PartnerControls">9b2454ea-c20f-4e6b-88ed-4c05c5ad342c</TermId>
        </TermInfo>
        <TermInfo xmlns="http://schemas.microsoft.com/office/infopath/2007/PartnerControls">
          <TermName xmlns="http://schemas.microsoft.com/office/infopath/2007/PartnerControls">נכסים והתחייבויות של המשק עם חול</TermName>
          <TermId xmlns="http://schemas.microsoft.com/office/infopath/2007/PartnerControls">6a5656ea-f386-4ed3-b73d-7588fc18ea32</TermId>
        </TermInfo>
        <TermInfo xmlns="http://schemas.microsoft.com/office/infopath/2007/PartnerControls">
          <TermName xmlns="http://schemas.microsoft.com/office/infopath/2007/PartnerControls">חשבון פיננסי</TermName>
          <TermId xmlns="http://schemas.microsoft.com/office/infopath/2007/PartnerControls">fde744a7-3997-47d5-aefe-aa8ef7974669</TermId>
        </TermInfo>
        <TermInfo xmlns="http://schemas.microsoft.com/office/infopath/2007/PartnerControls">
          <TermName xmlns="http://schemas.microsoft.com/office/infopath/2007/PartnerControls">השקעה ישירה בחשבון הפיננסי של מאזן התשלומים</TermName>
          <TermId xmlns="http://schemas.microsoft.com/office/infopath/2007/PartnerControls">8fff8c39-d367-4b6b-80e5-2c91d52b3927</TermId>
        </TermInfo>
        <TermInfo xmlns="http://schemas.microsoft.com/office/infopath/2007/PartnerControls">
          <TermName xmlns="http://schemas.microsoft.com/office/infopath/2007/PartnerControls">החשבון הפיננסי של מאזן התשלומים</TermName>
          <TermId xmlns="http://schemas.microsoft.com/office/infopath/2007/PartnerControls">5b5ee116-a90e-4683-af43-d931ba93d272</TermId>
        </TermInfo>
      </Terms>
    </badce114fb994f27a777030e336d1efa>
    <CbsMadadPublishDate xmlns="f37fff55-d014-472b-b062-823f736a4040" xsi:nil="true"/>
    <ArticleStartDate xmlns="http://schemas.microsoft.com/sharepoint/v3" xsi:nil="true"/>
    <CbsPublishingDocChapterAr xmlns="f37fff55-d014-472b-b062-823f736a4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 פרסום למס" ma:contentTypeID="0x01010018C65C5FFA1A411CB733A36D5E05D176005EC8771B28134F43A3AE7296363CCDAA0012EE8DAAB84E594CBB34D7852AC42FC4" ma:contentTypeVersion="70" ma:contentTypeDescription="צור מסמך חדש." ma:contentTypeScope="" ma:versionID="cb6c7fa6d610bc6cb7a456680cf8fd62">
  <xsd:schema xmlns:xsd="http://www.w3.org/2001/XMLSchema" xmlns:xs="http://www.w3.org/2001/XMLSchema" xmlns:p="http://schemas.microsoft.com/office/2006/metadata/properties" xmlns:ns1="http://schemas.microsoft.com/sharepoint/v3" xmlns:ns2="f37fff55-d014-472b-b062-823f736a4040" targetNamespace="http://schemas.microsoft.com/office/2006/metadata/properties" ma:root="true" ma:fieldsID="a30b15dec48d1fda5e9a372994946a33" ns1:_="" ns2:_="">
    <xsd:import namespace="http://schemas.microsoft.com/sharepoint/v3"/>
    <xsd:import namespace="f37fff55-d014-472b-b062-823f736a4040"/>
    <xsd:element name="properties">
      <xsd:complexType>
        <xsd:sequence>
          <xsd:element name="documentManagement">
            <xsd:complexType>
              <xsd:all>
                <xsd:element ref="ns2:CbsDataPublishDate" minOccurs="0"/>
                <xsd:element ref="ns2:CbsPublishingDocSubject" minOccurs="0"/>
                <xsd:element ref="ns2:CbsPublishingDocChapter" minOccurs="0"/>
                <xsd:element ref="ns2:CbsDocArticleVariationRelUrl" minOccurs="0"/>
                <xsd:element ref="ns2:CbsPublishingDocSubjectEng" minOccurs="0"/>
                <xsd:element ref="ns2:CbsPublishingDocChapterEng" minOccurs="0"/>
                <xsd:element ref="ns2:CbsOrderField" minOccurs="0"/>
                <xsd:element ref="ns2:CbsHide" minOccurs="0"/>
                <xsd:element ref="ns2:badce114fb994f27a777030e336d1efa" minOccurs="0"/>
                <xsd:element ref="ns1:PublishingRollupImage" minOccurs="0"/>
                <xsd:element ref="ns1:eWaveListOrderValue" minOccurs="0"/>
                <xsd:element ref="ns2:CbsEnglishTitle" minOccurs="0"/>
                <xsd:element ref="ns2:CbsDocArticleVariationRelUrlEng" minOccurs="0"/>
                <xsd:element ref="ns2:CbsDataSource" minOccurs="0"/>
                <xsd:element ref="ns2:CbsMadadPublishDate" minOccurs="0"/>
                <xsd:element ref="ns1:ArticleStartDate" minOccurs="0"/>
                <xsd:element ref="ns2:CbsPublishingDocChapter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26" nillable="true" ma:displayName="תמונת סיכום" ma:description="'תמונת סיכום' הוא עמודת אתר שיוצרת תכונת הפרסום. היא משמשת בסוג תוכן הדף כתמונה של הדף באוספי תוכן כגון ה- Web Part של תוכן לפי חיפוש." ma:internalName="PublishingRollupImage">
      <xsd:simpleType>
        <xsd:restriction base="dms:Unknown"/>
      </xsd:simpleType>
    </xsd:element>
    <xsd:element name="eWaveListOrderValue" ma:index="27" nillable="true" ma:displayName="סידור" ma:decimals="2" ma:internalName="eWaveListOrderValue" ma:readOnly="false">
      <xsd:simpleType>
        <xsd:restriction base="dms:Number"/>
      </xsd:simpleType>
    </xsd:element>
    <xsd:element name="ArticleStartDate" ma:index="35" nillable="true" ma:displayName="תאריך מאמר" ma:description="'תאריך המאמר' הוא עמודת אתר שיוצרת תכונת הפרסום. היא משמשת בסוג תוכן דף המאמר כתאריך של הדף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ff55-d014-472b-b062-823f736a4040" elementFormDefault="qualified">
    <xsd:import namespace="http://schemas.microsoft.com/office/2006/documentManagement/types"/>
    <xsd:import namespace="http://schemas.microsoft.com/office/infopath/2007/PartnerControls"/>
    <xsd:element name="CbsDataPublishDate" ma:index="8" nillable="true" ma:displayName="תאריך פרסום הנתונים" ma:internalName="CbsDataPublishDate" ma:readOnly="false">
      <xsd:simpleType>
        <xsd:restriction base="dms:DateTime"/>
      </xsd:simpleType>
    </xsd:element>
    <xsd:element name="CbsPublishingDocSubject" ma:index="10" nillable="true" ma:displayName="שם נושא עברית" ma:internalName="CbsPublishingDocSubject" ma:readOnly="false">
      <xsd:simpleType>
        <xsd:restriction base="dms:Text"/>
      </xsd:simpleType>
    </xsd:element>
    <xsd:element name="CbsPublishingDocChapter" ma:index="11" nillable="true" ma:displayName="שם פרק עברית" ma:internalName="CbsPublishingDocChapter" ma:readOnly="false">
      <xsd:simpleType>
        <xsd:restriction base="dms:Text"/>
      </xsd:simpleType>
    </xsd:element>
    <xsd:element name="CbsDocArticleVariationRelUrl" ma:index="12" nillable="true" ma:displayName="קישור מאמר עברית" ma:internalName="CbsDocArticleVariationRelUrl" ma:readOnly="false">
      <xsd:simpleType>
        <xsd:restriction base="dms:Text"/>
      </xsd:simpleType>
    </xsd:element>
    <xsd:element name="CbsPublishingDocSubjectEng" ma:index="13" nillable="true" ma:displayName="שם נושא אנגלית" ma:internalName="CbsPublishingDocSubjectEng" ma:readOnly="false">
      <xsd:simpleType>
        <xsd:restriction base="dms:Text"/>
      </xsd:simpleType>
    </xsd:element>
    <xsd:element name="CbsPublishingDocChapterEng" ma:index="14" nillable="true" ma:displayName="שם פרק אנגלית" ma:internalName="CbsPublishingDocChapterEng" ma:readOnly="false">
      <xsd:simpleType>
        <xsd:restriction base="dms:Text"/>
      </xsd:simpleType>
    </xsd:element>
    <xsd:element name="CbsOrderField" ma:index="15" nillable="true" ma:displayName="סדר" ma:internalName="CbsOrderField" ma:readOnly="false">
      <xsd:simpleType>
        <xsd:restriction base="dms:Number"/>
      </xsd:simpleType>
    </xsd:element>
    <xsd:element name="CbsHide" ma:index="16" nillable="true" ma:displayName="הסתר" ma:internalName="CbsHide" ma:readOnly="false">
      <xsd:simpleType>
        <xsd:restriction base="dms:Boolean"/>
      </xsd:simpleType>
    </xsd:element>
    <xsd:element name="badce114fb994f27a777030e336d1efa" ma:index="17" nillable="true" ma:taxonomy="true" ma:internalName="badce114fb994f27a777030e336d1efa" ma:taxonomyFieldName="CbsMMDSubjects" ma:displayName="נושאים" ma:readOnly="false" ma:fieldId="badce114-fb99-4f27-a777-030e336d1efa" ma:taxonomyMulti="true" ma:sspId="3561f26f-b765-481f-a768-7c7417e4a021" ma:termSetId="d7f67748-0ad2-4e38-bb9f-75af97b01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sEnglishTitle" ma:index="28" nillable="true" ma:displayName="כותרת אנגלית" ma:internalName="CbsEnglishTitle" ma:readOnly="false">
      <xsd:simpleType>
        <xsd:restriction base="dms:Text"/>
      </xsd:simpleType>
    </xsd:element>
    <xsd:element name="CbsDocArticleVariationRelUrlEng" ma:index="29" nillable="true" ma:displayName="קישור למאמר אנגלית" ma:internalName="CbsDocArticleVariationRelUrlEng" ma:readOnly="false">
      <xsd:simpleType>
        <xsd:restriction base="dms:Text"/>
      </xsd:simpleType>
    </xsd:element>
    <xsd:element name="CbsDataSource" ma:index="31" nillable="true" ma:displayName="תיקיה לדרופ דאון" ma:internalName="CbsDataSource" ma:readOnly="false">
      <xsd:simpleType>
        <xsd:restriction base="dms:Text"/>
      </xsd:simpleType>
    </xsd:element>
    <xsd:element name="CbsMadadPublishDate" ma:index="34" nillable="true" ma:displayName="תאריך הצגה" ma:internalName="CbsMadadPublishDate" ma:readOnly="false">
      <xsd:simpleType>
        <xsd:restriction base="dms:DateTime"/>
      </xsd:simpleType>
    </xsd:element>
    <xsd:element name="CbsPublishingDocChapterAr" ma:index="36" nillable="true" ma:displayName="כותרת בערבית" ma:internalName="CbsPublishingDocChapter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1949E-38B6-437D-9F5F-1AC732EA459F}"/>
</file>

<file path=customXml/itemProps2.xml><?xml version="1.0" encoding="utf-8"?>
<ds:datastoreItem xmlns:ds="http://schemas.openxmlformats.org/officeDocument/2006/customXml" ds:itemID="{84A3E372-5269-43B2-BF53-000A822CDE3A}"/>
</file>

<file path=customXml/itemProps3.xml><?xml version="1.0" encoding="utf-8"?>
<ds:datastoreItem xmlns:ds="http://schemas.openxmlformats.org/officeDocument/2006/customXml" ds:itemID="{90025696-9691-4745-9BD0-EA8AA67F9DCA}"/>
</file>

<file path=customXml/itemProps4.xml><?xml version="1.0" encoding="utf-8"?>
<ds:datastoreItem xmlns:ds="http://schemas.openxmlformats.org/officeDocument/2006/customXml" ds:itemID="{58B19C90-B383-479A-B280-047B603DD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1425</Words>
  <Characters>7802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_____________________________________________________________________________________________________________________</vt:lpstr>
      <vt:lpstr>_____________________________________________________________________________________________________________________</vt:lpstr>
    </vt:vector>
  </TitlesOfParts>
  <LinksUpToDate>false</LinksUpToDate>
  <CharactersWithSpaces>9209</CharactersWithSpaces>
  <SharedDoc>false</SharedDoc>
  <HLinks>
    <vt:vector size="24" baseType="variant">
      <vt:variant>
        <vt:i4>7012389</vt:i4>
      </vt:variant>
      <vt:variant>
        <vt:i4>12</vt:i4>
      </vt:variant>
      <vt:variant>
        <vt:i4>0</vt:i4>
      </vt:variant>
      <vt:variant>
        <vt:i4>5</vt:i4>
      </vt:variant>
      <vt:variant>
        <vt:lpwstr>http://www.cbs.gov.il/hodaot2017n/09_17_143t8.xls</vt:lpwstr>
      </vt:variant>
      <vt:variant>
        <vt:lpwstr/>
      </vt:variant>
      <vt:variant>
        <vt:i4>7012394</vt:i4>
      </vt:variant>
      <vt:variant>
        <vt:i4>9</vt:i4>
      </vt:variant>
      <vt:variant>
        <vt:i4>0</vt:i4>
      </vt:variant>
      <vt:variant>
        <vt:i4>5</vt:i4>
      </vt:variant>
      <vt:variant>
        <vt:lpwstr>http://www.cbs.gov.il/hodaot2017n/09_17_143t7.xls</vt:lpwstr>
      </vt:variant>
      <vt:variant>
        <vt:lpwstr/>
      </vt:variant>
      <vt:variant>
        <vt:i4>3801134</vt:i4>
      </vt:variant>
      <vt:variant>
        <vt:i4>6</vt:i4>
      </vt:variant>
      <vt:variant>
        <vt:i4>0</vt:i4>
      </vt:variant>
      <vt:variant>
        <vt:i4>5</vt:i4>
      </vt:variant>
      <vt:variant>
        <vt:lpwstr>http://www.cbs.gov.il/hodaot2017n/09_17_068b.doc</vt:lpwstr>
      </vt:variant>
      <vt:variant>
        <vt:lpwstr/>
      </vt:variant>
      <vt:variant>
        <vt:i4>4325479</vt:i4>
      </vt:variant>
      <vt:variant>
        <vt:i4>3</vt:i4>
      </vt:variant>
      <vt:variant>
        <vt:i4>0</vt:i4>
      </vt:variant>
      <vt:variant>
        <vt:i4>5</vt:i4>
      </vt:variant>
      <vt:variant>
        <vt:lpwstr>http://www.cbs.gov.il/reader/newhodaot/tables_template.html?hodaa=201709143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השקעות ישירות של ישראל בחול ושל חול בישראל לפי ענפי כלכלה ולפי מדינות - 2017-2015</dc:title>
  <dc:creator/>
  <cp:lastModifiedBy/>
  <cp:revision>1</cp:revision>
  <cp:lastPrinted>2013-02-10T11:52:00Z</cp:lastPrinted>
  <dcterms:created xsi:type="dcterms:W3CDTF">2019-04-07T08:12:00Z</dcterms:created>
  <dcterms:modified xsi:type="dcterms:W3CDTF">2019-04-07T08:12:00Z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2033931137</vt:i4>
  </property>
  <property fmtid="{D5CDD505-2E9C-101B-9397-08002B2CF9AE}" pid="3" name="_EmailEntryID">
    <vt:lpwstr>000000008F808F62E28ECE4B92C696E9FE167FEA070092E1F58D43FA1648B7C4EE9A1AD19F2D00B093A58F420000E4E5AE5A6039624E9AFAA815D09986F1000186BA15A50000</vt:lpwstr>
  </property>
  <property fmtid="{D5CDD505-2E9C-101B-9397-08002B2CF9AE}" pid="4" name="_EmailStoreID0">
    <vt:lpwstr>0000000038A1BB1005E5101AA1BB08002B2A56C20000454D534D44422E444C4C00000000000000001B55FA20AA6611CD9BC800AA002FC45A0C0000006362736D61696C2E6362732E676F762E696C002F6F3D4669727374204F7267616E697A6174696F6E2F6F753D45786368616E67652041646D696E6973747261746976652</vt:lpwstr>
  </property>
  <property fmtid="{D5CDD505-2E9C-101B-9397-08002B2CF9AE}" pid="5" name="_EmailStoreID1">
    <vt:lpwstr>047726F7570202846594449424F484632335350444C54292F636E3D526563697069656E74732F636E3D617669736861696300</vt:lpwstr>
  </property>
  <property fmtid="{D5CDD505-2E9C-101B-9397-08002B2CF9AE}" pid="6" name="_EmailStoreID2">
    <vt:lpwstr>444C54292F636E3D436F6E66696775726174696F6E2F636E3D536572766572732F636E3D4D41494C535256004D00410049004C005300520056002E006300620073002E0067006F0076002E0069006C0000000000</vt:lpwstr>
  </property>
  <property fmtid="{D5CDD505-2E9C-101B-9397-08002B2CF9AE}" pid="7" name="ContentTypeId">
    <vt:lpwstr>0x01010018C65C5FFA1A411CB733A36D5E05D176005EC8771B28134F43A3AE7296363CCDAA0012EE8DAAB84E594CBB34D7852AC42FC4</vt:lpwstr>
  </property>
  <property fmtid="{D5CDD505-2E9C-101B-9397-08002B2CF9AE}" pid="8" name="nfa41555e3464cf4bb914e89b71e6bff">
    <vt:lpwstr/>
  </property>
  <property fmtid="{D5CDD505-2E9C-101B-9397-08002B2CF9AE}" pid="9" name="k996ec15d8b84c25ab4ba497b8126068">
    <vt:lpwstr/>
  </property>
  <property fmtid="{D5CDD505-2E9C-101B-9397-08002B2CF9AE}" pid="10" name="CbsMMDSurveys">
    <vt:lpwstr/>
  </property>
  <property fmtid="{D5CDD505-2E9C-101B-9397-08002B2CF9AE}" pid="11" name="CbsMMDPublisher">
    <vt:lpwstr/>
  </property>
  <property fmtid="{D5CDD505-2E9C-101B-9397-08002B2CF9AE}" pid="12" name="le6ae3b316d345348c5a7081083b5f17">
    <vt:lpwstr/>
  </property>
  <property fmtid="{D5CDD505-2E9C-101B-9397-08002B2CF9AE}" pid="13" name="CbsMMDGatheringMethod">
    <vt:lpwstr/>
  </property>
  <property fmtid="{D5CDD505-2E9C-101B-9397-08002B2CF9AE}" pid="14" name="CbsMMDLanguages">
    <vt:lpwstr>24;#עברית|d5ca1f8a-058f-4a61-87d9-d098eff07fef;#23;#אנגלית|bcd2f785-9433-481a-8dea-af8b5faa5f5c</vt:lpwstr>
  </property>
  <property fmtid="{D5CDD505-2E9C-101B-9397-08002B2CF9AE}" pid="15" name="CbsMMDInterval">
    <vt:lpwstr>132;#שנתי|3aa65854-6eee-4c18-bea6-a232fd3cf6c6</vt:lpwstr>
  </property>
  <property fmtid="{D5CDD505-2E9C-101B-9397-08002B2CF9AE}" pid="16" name="d8f60aace6e84187b9d8167da15a966c">
    <vt:lpwstr/>
  </property>
  <property fmtid="{D5CDD505-2E9C-101B-9397-08002B2CF9AE}" pid="17" name="CbsMMDGeoDistribution">
    <vt:lpwstr/>
  </property>
  <property fmtid="{D5CDD505-2E9C-101B-9397-08002B2CF9AE}" pid="18" name="e963c9d311ab4da3b6cbc837a17bbe40">
    <vt:lpwstr/>
  </property>
  <property fmtid="{D5CDD505-2E9C-101B-9397-08002B2CF9AE}" pid="19" name="TaxCatchAll">
    <vt:lpwstr>14;#מאזן התשלומים|9b2454ea-c20f-4e6b-88ed-4c05c5ad342c;#132;#שנתי|3aa65854-6eee-4c18-bea6-a232fd3cf6c6;#26;#מאמר|2980ee55-44c4-4555-b313-39b30e741399;#249;#נכסים והתחייבויות של המשק עם חול|6a5656ea-f386-4ed3-b73d-7588fc18ea32;#791;#השקעה ישירה בחשבון הפיננסי של מאזן התשלומים|8fff8c39-d367-4b6b-80e5-2c91d52b3927;#24;#עברית|d5ca1f8a-058f-4a61-87d9-d098eff07fef;#23;#אנגלית|bcd2f785-9433-481a-8dea-af8b5faa5f5c;#4;#החשבון הפיננסי של מאזן התשלומים|5b5ee116-a90e-4683-af43-d931ba93d272;#258;#חשבון פיננסי|fde744a7-3997-47d5-aefe-aa8ef7974669</vt:lpwstr>
  </property>
  <property fmtid="{D5CDD505-2E9C-101B-9397-08002B2CF9AE}" pid="20" name="jb05328652cd4d188b8237060e08f6a6">
    <vt:lpwstr>מאמר|2980ee55-44c4-4555-b313-39b30e741399</vt:lpwstr>
  </property>
  <property fmtid="{D5CDD505-2E9C-101B-9397-08002B2CF9AE}" pid="21" name="CbsMMDItemType">
    <vt:lpwstr>26;#מאמר|2980ee55-44c4-4555-b313-39b30e741399</vt:lpwstr>
  </property>
  <property fmtid="{D5CDD505-2E9C-101B-9397-08002B2CF9AE}" pid="22" name="CbsMMDSettlements">
    <vt:lpwstr/>
  </property>
  <property fmtid="{D5CDD505-2E9C-101B-9397-08002B2CF9AE}" pid="23" name="fa130405dbd9451c89aaf40a75fe388c">
    <vt:lpwstr/>
  </property>
  <property fmtid="{D5CDD505-2E9C-101B-9397-08002B2CF9AE}" pid="24" name="be7e4c0a87744fda8f9ec475d0d5383d">
    <vt:lpwstr/>
  </property>
  <property fmtid="{D5CDD505-2E9C-101B-9397-08002B2CF9AE}" pid="25" name="o2494bd4375f452fad1b646d6a811f44">
    <vt:lpwstr>שנתי|3aa65854-6eee-4c18-bea6-a232fd3cf6c6</vt:lpwstr>
  </property>
  <property fmtid="{D5CDD505-2E9C-101B-9397-08002B2CF9AE}" pid="26" name="CbsMMDSubjects">
    <vt:lpwstr>14;#מאזן התשלומים|9b2454ea-c20f-4e6b-88ed-4c05c5ad342c;#249;#נכסים והתחייבויות של המשק עם חול|6a5656ea-f386-4ed3-b73d-7588fc18ea32;#258;#חשבון פיננסי|fde744a7-3997-47d5-aefe-aa8ef7974669;#791;#השקעה ישירה בחשבון הפיננסי של מאזן התשלומים|8fff8c39-d367-4b6b-80e5-2c91d52b3927;#4;#החשבון הפיננסי של מאזן התשלומים|5b5ee116-a90e-4683-af43-d931ba93d272</vt:lpwstr>
  </property>
  <property fmtid="{D5CDD505-2E9C-101B-9397-08002B2CF9AE}" pid="27" name="CbsMMDLicense">
    <vt:lpwstr/>
  </property>
  <property fmtid="{D5CDD505-2E9C-101B-9397-08002B2CF9AE}" pid="28" name="d26306ee4df449b8a93fe89c272330c7">
    <vt:lpwstr/>
  </property>
  <property fmtid="{D5CDD505-2E9C-101B-9397-08002B2CF9AE}" pid="29" name="l2e12a95055c425a9be399caf84ebe5f">
    <vt:lpwstr>עברית|d5ca1f8a-058f-4a61-87d9-d098eff07fef;אנגלית|bcd2f785-9433-481a-8dea-af8b5faa5f5c</vt:lpwstr>
  </property>
  <property fmtid="{D5CDD505-2E9C-101B-9397-08002B2CF9AE}" pid="30" name="CbsMMDGlobalSubjects">
    <vt:lpwstr/>
  </property>
  <property fmtid="{D5CDD505-2E9C-101B-9397-08002B2CF9AE}" pid="31" name="CbsMMDForPublicationCSB">
    <vt:lpwstr/>
  </property>
</Properties>
</file>