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43FD" w:rsidRDefault="004243FD" w:rsidP="004243FD">
      <w:pPr>
        <w:pStyle w:val="flushright1"/>
        <w:spacing w:before="0" w:after="0"/>
      </w:pPr>
      <w:bookmarkStart w:id="0" w:name="_GoBack"/>
      <w:bookmarkEnd w:id="0"/>
      <w:r>
        <w:t>________________________________________________________________________</w:t>
      </w:r>
    </w:p>
    <w:p w:rsidR="00A25146" w:rsidRPr="00EB5FCF" w:rsidRDefault="00A25146" w:rsidP="00DB5CB5">
      <w:pPr>
        <w:pStyle w:val="flushright1"/>
      </w:pPr>
      <w:r w:rsidRPr="00C86B64">
        <w:t>Jerusalem</w:t>
      </w:r>
    </w:p>
    <w:p w:rsidR="00A25146" w:rsidRPr="00EB5FCF" w:rsidRDefault="003E6C42" w:rsidP="00F9779A">
      <w:pPr>
        <w:pStyle w:val="flushright2"/>
        <w:rPr>
          <w:rFonts w:eastAsia="Arial Unicode MS"/>
        </w:rPr>
      </w:pPr>
      <w:r w:rsidRPr="00C86B64">
        <w:t>Novem</w:t>
      </w:r>
      <w:r w:rsidR="00A25146" w:rsidRPr="00C86B64">
        <w:t xml:space="preserve">ber </w:t>
      </w:r>
      <w:r w:rsidR="00F9779A">
        <w:t>11</w:t>
      </w:r>
      <w:r w:rsidR="00D86093">
        <w:t>,</w:t>
      </w:r>
      <w:r w:rsidR="00A25146" w:rsidRPr="00C86B64">
        <w:t xml:space="preserve"> </w:t>
      </w:r>
      <w:r w:rsidR="00A25146" w:rsidRPr="00C86B64">
        <w:rPr>
          <w:rFonts w:eastAsia="Arial Unicode MS"/>
        </w:rPr>
        <w:t>20</w:t>
      </w:r>
      <w:r w:rsidR="00F9779A">
        <w:rPr>
          <w:rFonts w:eastAsia="Arial Unicode MS"/>
        </w:rPr>
        <w:t>20</w:t>
      </w:r>
    </w:p>
    <w:p w:rsidR="00A25146" w:rsidRPr="008668A4" w:rsidRDefault="009C1E9D" w:rsidP="008668A4">
      <w:pPr>
        <w:pStyle w:val="flushright3"/>
      </w:pPr>
      <w:r>
        <w:t>35</w:t>
      </w:r>
      <w:r w:rsidR="00F9779A">
        <w:t>8</w:t>
      </w:r>
      <w:r w:rsidR="00A25146" w:rsidRPr="00C86B64">
        <w:t>/20</w:t>
      </w:r>
      <w:r w:rsidR="00F9779A">
        <w:t>20</w:t>
      </w:r>
    </w:p>
    <w:p w:rsidR="00432F86" w:rsidRPr="004243FD" w:rsidRDefault="003E6C42" w:rsidP="00975F45">
      <w:pPr>
        <w:pStyle w:val="Heading1"/>
        <w:spacing w:after="60" w:line="240" w:lineRule="auto"/>
        <w:rPr>
          <w:sz w:val="28"/>
          <w:szCs w:val="28"/>
        </w:rPr>
      </w:pPr>
      <w:r w:rsidRPr="004243FD">
        <w:rPr>
          <w:sz w:val="28"/>
          <w:szCs w:val="28"/>
        </w:rPr>
        <w:t xml:space="preserve">The Population </w:t>
      </w:r>
      <w:r w:rsidR="00AE000F" w:rsidRPr="004243FD">
        <w:rPr>
          <w:sz w:val="28"/>
          <w:szCs w:val="28"/>
        </w:rPr>
        <w:t xml:space="preserve">of Ethiopian Origin </w:t>
      </w:r>
      <w:r w:rsidRPr="004243FD">
        <w:rPr>
          <w:sz w:val="28"/>
          <w:szCs w:val="28"/>
        </w:rPr>
        <w:t>in Israel</w:t>
      </w:r>
      <w:r w:rsidR="00975F45">
        <w:rPr>
          <w:sz w:val="28"/>
          <w:szCs w:val="28"/>
        </w:rPr>
        <w:br/>
      </w:r>
      <w:r w:rsidR="00F57308" w:rsidRPr="004243FD">
        <w:rPr>
          <w:sz w:val="28"/>
          <w:szCs w:val="28"/>
        </w:rPr>
        <w:t xml:space="preserve">Selected Data Published </w:t>
      </w:r>
      <w:r w:rsidR="00D21D2B" w:rsidRPr="004243FD">
        <w:rPr>
          <w:sz w:val="28"/>
          <w:szCs w:val="28"/>
        </w:rPr>
        <w:t>on the Occasion</w:t>
      </w:r>
      <w:r w:rsidR="00F57308" w:rsidRPr="004243FD">
        <w:rPr>
          <w:sz w:val="28"/>
          <w:szCs w:val="28"/>
        </w:rPr>
        <w:t xml:space="preserve"> of</w:t>
      </w:r>
      <w:r w:rsidR="00432F86" w:rsidRPr="004243FD">
        <w:rPr>
          <w:sz w:val="28"/>
          <w:szCs w:val="28"/>
        </w:rPr>
        <w:t xml:space="preserve"> the Sigd Festival</w:t>
      </w:r>
    </w:p>
    <w:p w:rsidR="00CF7EE0" w:rsidRPr="008D0E34" w:rsidRDefault="00CF7EE0" w:rsidP="004835A1">
      <w:pPr>
        <w:pStyle w:val="bullet1"/>
        <w:pBdr>
          <w:top w:val="single" w:sz="4" w:space="6" w:color="auto"/>
          <w:left w:val="single" w:sz="4" w:space="8" w:color="auto"/>
          <w:bottom w:val="single" w:sz="4" w:space="1" w:color="auto"/>
          <w:right w:val="single" w:sz="4" w:space="6" w:color="auto"/>
        </w:pBdr>
        <w:spacing w:after="60" w:line="360" w:lineRule="atLeast"/>
        <w:ind w:left="714" w:hanging="357"/>
      </w:pPr>
      <w:r w:rsidRPr="008D0E34">
        <w:t xml:space="preserve">At the end of </w:t>
      </w:r>
      <w:r w:rsidR="00016520">
        <w:t>201</w:t>
      </w:r>
      <w:r w:rsidR="00F9779A">
        <w:t>9</w:t>
      </w:r>
      <w:r w:rsidRPr="008D0E34">
        <w:t xml:space="preserve">, </w:t>
      </w:r>
      <w:r w:rsidRPr="00016520">
        <w:rPr>
          <w:b/>
          <w:bCs w:val="0"/>
        </w:rPr>
        <w:t xml:space="preserve">the population of Ethiopian origin in Israel </w:t>
      </w:r>
      <w:r w:rsidR="0069728D">
        <w:rPr>
          <w:b/>
          <w:bCs w:val="0"/>
        </w:rPr>
        <w:t xml:space="preserve">numbered </w:t>
      </w:r>
      <w:r w:rsidR="00D34489">
        <w:rPr>
          <w:b/>
          <w:bCs w:val="0"/>
        </w:rPr>
        <w:t>15</w:t>
      </w:r>
      <w:r w:rsidR="00F9779A">
        <w:rPr>
          <w:b/>
          <w:bCs w:val="0"/>
        </w:rPr>
        <w:t>5</w:t>
      </w:r>
      <w:r w:rsidR="00D34489">
        <w:rPr>
          <w:b/>
          <w:bCs w:val="0"/>
        </w:rPr>
        <w:t>,</w:t>
      </w:r>
      <w:r w:rsidR="00F9779A">
        <w:rPr>
          <w:b/>
          <w:bCs w:val="0"/>
        </w:rPr>
        <w:t>3</w:t>
      </w:r>
      <w:r w:rsidR="00D34489">
        <w:rPr>
          <w:b/>
          <w:bCs w:val="0"/>
        </w:rPr>
        <w:t>00</w:t>
      </w:r>
      <w:r w:rsidRPr="00016520">
        <w:rPr>
          <w:b/>
          <w:bCs w:val="0"/>
        </w:rPr>
        <w:t xml:space="preserve"> residents.</w:t>
      </w:r>
      <w:r w:rsidRPr="00016520">
        <w:rPr>
          <w:rStyle w:val="FootnoteReference"/>
          <w:szCs w:val="24"/>
        </w:rPr>
        <w:footnoteReference w:id="1"/>
      </w:r>
      <w:r w:rsidRPr="008D0E34">
        <w:t xml:space="preserve"> Approximately </w:t>
      </w:r>
      <w:r w:rsidR="00D34489">
        <w:t>8</w:t>
      </w:r>
      <w:r w:rsidR="00F9779A">
        <w:t>7</w:t>
      </w:r>
      <w:r w:rsidR="00D34489">
        <w:t>,</w:t>
      </w:r>
      <w:r w:rsidR="00F9779A">
        <w:t>5</w:t>
      </w:r>
      <w:r w:rsidR="00D34489">
        <w:t>00</w:t>
      </w:r>
      <w:r w:rsidRPr="008D0E34">
        <w:t xml:space="preserve"> were born in Ethiopia, and </w:t>
      </w:r>
      <w:r w:rsidR="00AC4940">
        <w:t>6</w:t>
      </w:r>
      <w:r w:rsidR="004243FD">
        <w:t>7</w:t>
      </w:r>
      <w:r w:rsidR="00AC4940">
        <w:t>,</w:t>
      </w:r>
      <w:r w:rsidR="004243FD">
        <w:t>8</w:t>
      </w:r>
      <w:r w:rsidR="00AC4940">
        <w:t>00</w:t>
      </w:r>
      <w:r w:rsidRPr="008D0E34">
        <w:t xml:space="preserve"> were Israeli-born with fathers born in Ethiopia.</w:t>
      </w:r>
    </w:p>
    <w:p w:rsidR="00CF7EE0" w:rsidRPr="00CF7EE0" w:rsidRDefault="00CF7EE0" w:rsidP="004835A1">
      <w:pPr>
        <w:pStyle w:val="bullet1"/>
        <w:pBdr>
          <w:top w:val="single" w:sz="4" w:space="6" w:color="auto"/>
          <w:left w:val="single" w:sz="4" w:space="8" w:color="auto"/>
          <w:bottom w:val="single" w:sz="4" w:space="1" w:color="auto"/>
          <w:right w:val="single" w:sz="4" w:space="6" w:color="auto"/>
        </w:pBdr>
        <w:spacing w:after="60" w:line="360" w:lineRule="atLeast"/>
        <w:ind w:left="714" w:hanging="357"/>
      </w:pPr>
      <w:r w:rsidRPr="00CF7EE0">
        <w:t>In 201</w:t>
      </w:r>
      <w:r w:rsidR="00F9779A">
        <w:t>9</w:t>
      </w:r>
      <w:r w:rsidRPr="00CF7EE0">
        <w:t xml:space="preserve">, </w:t>
      </w:r>
      <w:r w:rsidR="00F9779A">
        <w:t>81</w:t>
      </w:r>
      <w:r w:rsidR="00866D95">
        <w:t>8</w:t>
      </w:r>
      <w:r w:rsidRPr="00CF7EE0">
        <w:t xml:space="preserve"> immigrants a</w:t>
      </w:r>
      <w:r w:rsidR="00F9779A">
        <w:t>rrived in Israel from Ethiopia.</w:t>
      </w:r>
    </w:p>
    <w:p w:rsidR="00CF7EE0" w:rsidRPr="00CF7EE0" w:rsidRDefault="003E39D6" w:rsidP="004835A1">
      <w:pPr>
        <w:pStyle w:val="bullet1"/>
        <w:pBdr>
          <w:top w:val="single" w:sz="4" w:space="6" w:color="auto"/>
          <w:left w:val="single" w:sz="4" w:space="8" w:color="auto"/>
          <w:bottom w:val="single" w:sz="4" w:space="1" w:color="auto"/>
          <w:right w:val="single" w:sz="4" w:space="6" w:color="auto"/>
        </w:pBdr>
        <w:spacing w:after="60" w:line="360" w:lineRule="atLeast"/>
        <w:ind w:left="714" w:hanging="357"/>
      </w:pPr>
      <w:r>
        <w:t>Approximately 6</w:t>
      </w:r>
      <w:r w:rsidR="004243FD">
        <w:t>3</w:t>
      </w:r>
      <w:r w:rsidR="00CF7EE0" w:rsidRPr="00CF7EE0">
        <w:t xml:space="preserve">% of the population of Ethiopian origin </w:t>
      </w:r>
      <w:r w:rsidR="00CF7EE0" w:rsidRPr="00A61DE6">
        <w:rPr>
          <w:b/>
          <w:bCs w:val="0"/>
        </w:rPr>
        <w:t>lives in two main</w:t>
      </w:r>
      <w:r w:rsidR="00CF7EE0" w:rsidRPr="00CF7EE0">
        <w:t xml:space="preserve"> </w:t>
      </w:r>
      <w:r w:rsidR="00CF7EE0" w:rsidRPr="00CF7EE0">
        <w:rPr>
          <w:b/>
        </w:rPr>
        <w:t>districts</w:t>
      </w:r>
      <w:r w:rsidR="00CF7EE0" w:rsidRPr="00992778">
        <w:rPr>
          <w:b/>
          <w:bCs w:val="0"/>
        </w:rPr>
        <w:t>:</w:t>
      </w:r>
      <w:r w:rsidR="00CF7EE0" w:rsidRPr="00CF7EE0">
        <w:t xml:space="preserve"> </w:t>
      </w:r>
      <w:r w:rsidR="00D073D9">
        <w:t>about</w:t>
      </w:r>
      <w:r w:rsidR="0051399B">
        <w:t xml:space="preserve"> 38% live in t</w:t>
      </w:r>
      <w:r w:rsidR="00CF7EE0" w:rsidRPr="00CF7EE0">
        <w:t xml:space="preserve">he Central District and </w:t>
      </w:r>
      <w:r w:rsidR="00D073D9">
        <w:t>about</w:t>
      </w:r>
      <w:r w:rsidR="0051399B">
        <w:t xml:space="preserve"> 25% live in </w:t>
      </w:r>
      <w:r w:rsidR="00CF7EE0" w:rsidRPr="00CF7EE0">
        <w:t>the Southern District. At the end of 201</w:t>
      </w:r>
      <w:r w:rsidR="00F9779A">
        <w:t>9</w:t>
      </w:r>
      <w:r w:rsidR="00CF7EE0" w:rsidRPr="00CF7EE0">
        <w:t xml:space="preserve">, the urban locality with the </w:t>
      </w:r>
      <w:r w:rsidR="00CF7EE0" w:rsidRPr="00CF7EE0">
        <w:rPr>
          <w:b/>
        </w:rPr>
        <w:t>largest population of Ethiopian origin</w:t>
      </w:r>
      <w:r w:rsidR="00CF7EE0" w:rsidRPr="00CF7EE0">
        <w:t xml:space="preserve"> was Netanya (approximately 1</w:t>
      </w:r>
      <w:r w:rsidR="00F9779A">
        <w:t>2</w:t>
      </w:r>
      <w:r w:rsidR="00CF7EE0" w:rsidRPr="00CF7EE0">
        <w:t>,</w:t>
      </w:r>
      <w:r w:rsidR="00F9779A">
        <w:t>0</w:t>
      </w:r>
      <w:r w:rsidR="00CF7EE0" w:rsidRPr="00CF7EE0">
        <w:t xml:space="preserve">00 persons). However, the </w:t>
      </w:r>
      <w:r w:rsidR="00CF7EE0" w:rsidRPr="00CF7EE0">
        <w:rPr>
          <w:b/>
        </w:rPr>
        <w:t>highest percentage</w:t>
      </w:r>
      <w:r w:rsidR="00CF7EE0" w:rsidRPr="00CF7EE0">
        <w:t xml:space="preserve"> of residents of Ethiopian origin out of the total population in a locality was found in Qiryat Mal</w:t>
      </w:r>
      <w:r w:rsidR="00ED1013">
        <w:t>’</w:t>
      </w:r>
      <w:r w:rsidR="00CF7EE0" w:rsidRPr="00CF7EE0">
        <w:t>akhi (16.</w:t>
      </w:r>
      <w:r w:rsidR="00F9779A">
        <w:t>0</w:t>
      </w:r>
      <w:r w:rsidR="00CF7EE0" w:rsidRPr="00CF7EE0">
        <w:t>%).</w:t>
      </w:r>
    </w:p>
    <w:p w:rsidR="00EC59CE" w:rsidRDefault="00CF7EE0" w:rsidP="004835A1">
      <w:pPr>
        <w:pStyle w:val="bullet1"/>
        <w:pBdr>
          <w:top w:val="single" w:sz="4" w:space="6" w:color="auto"/>
          <w:left w:val="single" w:sz="4" w:space="8" w:color="auto"/>
          <w:bottom w:val="single" w:sz="4" w:space="1" w:color="auto"/>
          <w:right w:val="single" w:sz="4" w:space="6" w:color="auto"/>
        </w:pBdr>
        <w:spacing w:after="60" w:line="360" w:lineRule="atLeast"/>
        <w:ind w:left="714" w:hanging="357"/>
      </w:pPr>
      <w:r w:rsidRPr="00293D13">
        <w:rPr>
          <w:b/>
          <w:bCs w:val="0"/>
        </w:rPr>
        <w:t xml:space="preserve">Live </w:t>
      </w:r>
      <w:r w:rsidR="006056EC" w:rsidRPr="00293D13">
        <w:rPr>
          <w:b/>
          <w:bCs w:val="0"/>
        </w:rPr>
        <w:t>births:</w:t>
      </w:r>
      <w:r w:rsidR="00637137">
        <w:t xml:space="preserve"> </w:t>
      </w:r>
      <w:r w:rsidR="00EC59CE" w:rsidRPr="00CF7EE0">
        <w:t>In 201</w:t>
      </w:r>
      <w:r w:rsidR="00EC59CE">
        <w:t>9</w:t>
      </w:r>
      <w:r w:rsidR="00EC59CE" w:rsidRPr="00CF7EE0">
        <w:t xml:space="preserve">, </w:t>
      </w:r>
      <w:r w:rsidR="00EC59CE">
        <w:t>3,950</w:t>
      </w:r>
      <w:r w:rsidR="00EC59CE" w:rsidRPr="00CF7EE0">
        <w:t xml:space="preserve"> </w:t>
      </w:r>
      <w:r w:rsidR="00EC59CE">
        <w:t>infants</w:t>
      </w:r>
      <w:r w:rsidR="00EC59CE" w:rsidRPr="00CF7EE0">
        <w:t xml:space="preserve"> were born to women of Ethiopian origin in Israel. That year, the average number of children that a woman of Ethiopian origin </w:t>
      </w:r>
      <w:r w:rsidR="00EC59CE">
        <w:t>i</w:t>
      </w:r>
      <w:r w:rsidR="00EC59CE" w:rsidRPr="00CF7EE0">
        <w:t>s expected to bear during her lifetime was 2.9</w:t>
      </w:r>
      <w:r w:rsidR="00EC59CE">
        <w:t>2</w:t>
      </w:r>
      <w:r w:rsidR="00EC59CE" w:rsidRPr="00CF7EE0">
        <w:t>.</w:t>
      </w:r>
    </w:p>
    <w:p w:rsidR="00CF7EE0" w:rsidRPr="00CF7EE0" w:rsidRDefault="005F5214" w:rsidP="004835A1">
      <w:pPr>
        <w:pStyle w:val="bullet1"/>
        <w:pBdr>
          <w:top w:val="single" w:sz="4" w:space="6" w:color="auto"/>
          <w:left w:val="single" w:sz="4" w:space="8" w:color="auto"/>
          <w:bottom w:val="single" w:sz="4" w:space="1" w:color="auto"/>
          <w:right w:val="single" w:sz="4" w:space="6" w:color="auto"/>
        </w:pBdr>
        <w:spacing w:after="60" w:line="360" w:lineRule="atLeast"/>
        <w:ind w:left="714" w:hanging="357"/>
      </w:pPr>
      <w:r>
        <w:t>During the 201</w:t>
      </w:r>
      <w:r w:rsidR="00BA5452">
        <w:t>8</w:t>
      </w:r>
      <w:r>
        <w:t>/1</w:t>
      </w:r>
      <w:r w:rsidR="00BA5452">
        <w:t>9</w:t>
      </w:r>
      <w:r>
        <w:t xml:space="preserve"> academic year, 3</w:t>
      </w:r>
      <w:r w:rsidR="00BA5452">
        <w:t>1</w:t>
      </w:r>
      <w:r>
        <w:t>,</w:t>
      </w:r>
      <w:r w:rsidR="00BA5452">
        <w:t>890</w:t>
      </w:r>
      <w:r>
        <w:t xml:space="preserve"> </w:t>
      </w:r>
      <w:r w:rsidR="00DD7CC8" w:rsidRPr="00293D13">
        <w:t>students</w:t>
      </w:r>
      <w:r w:rsidR="00DD7CC8">
        <w:t xml:space="preserve"> </w:t>
      </w:r>
      <w:r>
        <w:t xml:space="preserve">of Ethiopian origin </w:t>
      </w:r>
      <w:r w:rsidR="0091209F">
        <w:t>–</w:t>
      </w:r>
      <w:r>
        <w:t xml:space="preserve"> 2.4% of the total population of </w:t>
      </w:r>
      <w:r w:rsidR="00DD7CC8">
        <w:t xml:space="preserve">students </w:t>
      </w:r>
      <w:r>
        <w:t xml:space="preserve">in the </w:t>
      </w:r>
      <w:r w:rsidR="005C3BEA">
        <w:t>Hebrew</w:t>
      </w:r>
      <w:r>
        <w:t xml:space="preserve"> education system </w:t>
      </w:r>
      <w:r w:rsidR="0091209F">
        <w:t>–</w:t>
      </w:r>
      <w:r>
        <w:t xml:space="preserve"> were enrolled </w:t>
      </w:r>
      <w:r w:rsidRPr="00293D13">
        <w:rPr>
          <w:b/>
          <w:bCs w:val="0"/>
        </w:rPr>
        <w:t xml:space="preserve">in primary and </w:t>
      </w:r>
      <w:r w:rsidR="001C4691" w:rsidRPr="00293D13">
        <w:rPr>
          <w:b/>
          <w:bCs w:val="0"/>
        </w:rPr>
        <w:t>second</w:t>
      </w:r>
      <w:r w:rsidRPr="00293D13">
        <w:rPr>
          <w:b/>
          <w:bCs w:val="0"/>
        </w:rPr>
        <w:t>ary schools.</w:t>
      </w:r>
    </w:p>
    <w:p w:rsidR="00CF7EE0" w:rsidRDefault="00CF7EE0" w:rsidP="004835A1">
      <w:pPr>
        <w:pStyle w:val="bullet1"/>
        <w:pBdr>
          <w:top w:val="single" w:sz="4" w:space="6" w:color="auto"/>
          <w:left w:val="single" w:sz="4" w:space="8" w:color="auto"/>
          <w:bottom w:val="single" w:sz="4" w:space="1" w:color="auto"/>
          <w:right w:val="single" w:sz="4" w:space="6" w:color="auto"/>
        </w:pBdr>
        <w:spacing w:after="60" w:line="360" w:lineRule="atLeast"/>
        <w:ind w:left="714" w:hanging="357"/>
        <w:rPr>
          <w:spacing w:val="-4"/>
        </w:rPr>
      </w:pPr>
      <w:r w:rsidRPr="00185E72">
        <w:rPr>
          <w:spacing w:val="-4"/>
        </w:rPr>
        <w:t xml:space="preserve">The percentage of </w:t>
      </w:r>
      <w:r w:rsidR="00185E72">
        <w:rPr>
          <w:spacing w:val="-4"/>
        </w:rPr>
        <w:t>12th</w:t>
      </w:r>
      <w:r w:rsidRPr="00185E72">
        <w:rPr>
          <w:spacing w:val="-4"/>
        </w:rPr>
        <w:t xml:space="preserve">-grade </w:t>
      </w:r>
      <w:r w:rsidR="00DD7CC8">
        <w:t>students</w:t>
      </w:r>
      <w:r w:rsidRPr="00185E72">
        <w:rPr>
          <w:spacing w:val="-4"/>
        </w:rPr>
        <w:t xml:space="preserve"> of Ethiopian origin taking </w:t>
      </w:r>
      <w:r w:rsidRPr="00185E72">
        <w:rPr>
          <w:b/>
          <w:spacing w:val="-4"/>
        </w:rPr>
        <w:t>matriculation exams</w:t>
      </w:r>
      <w:r w:rsidRPr="00185E72">
        <w:rPr>
          <w:spacing w:val="-4"/>
        </w:rPr>
        <w:t xml:space="preserve"> was </w:t>
      </w:r>
      <w:r w:rsidR="005F5214" w:rsidRPr="00185E72">
        <w:rPr>
          <w:spacing w:val="-4"/>
        </w:rPr>
        <w:t>92</w:t>
      </w:r>
      <w:r w:rsidRPr="00185E72">
        <w:rPr>
          <w:spacing w:val="-4"/>
        </w:rPr>
        <w:t>% in 201</w:t>
      </w:r>
      <w:r w:rsidR="004243FD">
        <w:rPr>
          <w:spacing w:val="-4"/>
        </w:rPr>
        <w:t>9</w:t>
      </w:r>
      <w:r w:rsidRPr="00185E72">
        <w:rPr>
          <w:spacing w:val="-4"/>
        </w:rPr>
        <w:t xml:space="preserve">, compared with </w:t>
      </w:r>
      <w:r w:rsidR="005F5214" w:rsidRPr="00185E72">
        <w:rPr>
          <w:spacing w:val="-4"/>
        </w:rPr>
        <w:t>95</w:t>
      </w:r>
      <w:r w:rsidR="00BA5452">
        <w:rPr>
          <w:spacing w:val="-4"/>
        </w:rPr>
        <w:t>.1</w:t>
      </w:r>
      <w:r w:rsidRPr="00185E72">
        <w:rPr>
          <w:spacing w:val="-4"/>
        </w:rPr>
        <w:t xml:space="preserve">% of the </w:t>
      </w:r>
      <w:r w:rsidR="00DD7CC8">
        <w:t>students</w:t>
      </w:r>
      <w:r w:rsidRPr="00185E72">
        <w:rPr>
          <w:spacing w:val="-4"/>
        </w:rPr>
        <w:t xml:space="preserve"> in the Hebrew education system</w:t>
      </w:r>
      <w:r w:rsidR="005435E3" w:rsidRPr="00185E72">
        <w:rPr>
          <w:spacing w:val="-4"/>
        </w:rPr>
        <w:t xml:space="preserve"> overall</w:t>
      </w:r>
      <w:r w:rsidRPr="00185E72">
        <w:rPr>
          <w:spacing w:val="-4"/>
        </w:rPr>
        <w:t>.</w:t>
      </w:r>
    </w:p>
    <w:p w:rsidR="00BA5452" w:rsidRPr="0032060A" w:rsidRDefault="00BA5452" w:rsidP="004835A1">
      <w:pPr>
        <w:pStyle w:val="bullet1"/>
        <w:pBdr>
          <w:top w:val="single" w:sz="4" w:space="6" w:color="auto"/>
          <w:left w:val="single" w:sz="4" w:space="8" w:color="auto"/>
          <w:bottom w:val="single" w:sz="4" w:space="1" w:color="auto"/>
          <w:right w:val="single" w:sz="4" w:space="6" w:color="auto"/>
        </w:pBdr>
        <w:spacing w:after="60" w:line="360" w:lineRule="atLeast"/>
        <w:ind w:left="714" w:hanging="357"/>
        <w:rPr>
          <w:spacing w:val="-4"/>
        </w:rPr>
      </w:pPr>
      <w:r>
        <w:t>T</w:t>
      </w:r>
      <w:r w:rsidRPr="0031203B">
        <w:t xml:space="preserve">he percentage of those </w:t>
      </w:r>
      <w:r w:rsidR="00041CCF">
        <w:rPr>
          <w:b/>
          <w:bCs w:val="0"/>
        </w:rPr>
        <w:t>eligible for</w:t>
      </w:r>
      <w:r w:rsidRPr="00BA5452">
        <w:rPr>
          <w:b/>
          <w:bCs w:val="0"/>
        </w:rPr>
        <w:t xml:space="preserve"> a matriculation certificate</w:t>
      </w:r>
      <w:r w:rsidRPr="0031203B">
        <w:t xml:space="preserve"> </w:t>
      </w:r>
      <w:r w:rsidR="008F112E">
        <w:t xml:space="preserve">that meets university entrance requirements </w:t>
      </w:r>
      <w:r>
        <w:t>has been rising in recent years.</w:t>
      </w:r>
    </w:p>
    <w:p w:rsidR="0032060A" w:rsidRPr="0032060A" w:rsidRDefault="0032060A" w:rsidP="0032060A">
      <w:pPr>
        <w:pStyle w:val="bullet1"/>
        <w:pBdr>
          <w:top w:val="single" w:sz="4" w:space="6" w:color="auto"/>
          <w:left w:val="single" w:sz="4" w:space="8" w:color="auto"/>
          <w:right w:val="single" w:sz="4" w:space="6" w:color="auto"/>
        </w:pBdr>
        <w:spacing w:after="60" w:line="360" w:lineRule="atLeast"/>
        <w:ind w:left="714" w:hanging="357"/>
        <w:rPr>
          <w:spacing w:val="-4"/>
        </w:rPr>
      </w:pPr>
      <w:r w:rsidRPr="0065448C">
        <w:lastRenderedPageBreak/>
        <w:t xml:space="preserve">The number of </w:t>
      </w:r>
      <w:r w:rsidRPr="0065448C">
        <w:rPr>
          <w:b/>
        </w:rPr>
        <w:t>students</w:t>
      </w:r>
      <w:r w:rsidRPr="00F414C1">
        <w:rPr>
          <w:bCs w:val="0"/>
        </w:rPr>
        <w:t xml:space="preserve"> of Ethiopian origin in institutions of higher education</w:t>
      </w:r>
      <w:r w:rsidRPr="0065448C">
        <w:rPr>
          <w:rStyle w:val="FootnoteReference"/>
          <w:rFonts w:asciiTheme="minorBidi" w:hAnsiTheme="minorBidi" w:cstheme="minorBidi"/>
          <w:szCs w:val="24"/>
        </w:rPr>
        <w:footnoteReference w:id="2"/>
      </w:r>
      <w:r w:rsidRPr="0065448C">
        <w:t xml:space="preserve"> has been increasing in recent years: from 2,372 in 2011/12 to 3,546 in 2019/20.</w:t>
      </w:r>
    </w:p>
    <w:p w:rsidR="0032060A" w:rsidRPr="00185E72" w:rsidRDefault="0032060A" w:rsidP="00613A35">
      <w:pPr>
        <w:pStyle w:val="bullet1"/>
        <w:pBdr>
          <w:top w:val="single" w:sz="4" w:space="6" w:color="auto"/>
          <w:left w:val="single" w:sz="4" w:space="8" w:color="auto"/>
          <w:right w:val="single" w:sz="4" w:space="6" w:color="auto"/>
        </w:pBdr>
        <w:spacing w:after="60" w:line="360" w:lineRule="atLeast"/>
        <w:ind w:left="714" w:hanging="357"/>
        <w:rPr>
          <w:spacing w:val="-4"/>
        </w:rPr>
      </w:pPr>
      <w:r w:rsidRPr="00613A35">
        <w:rPr>
          <w:b/>
          <w:bCs w:val="0"/>
        </w:rPr>
        <w:t xml:space="preserve">The percentage of first degree students of Ethiopian origin who </w:t>
      </w:r>
      <w:r w:rsidR="00613A35" w:rsidRPr="00613A35">
        <w:rPr>
          <w:b/>
          <w:bCs w:val="0"/>
        </w:rPr>
        <w:t xml:space="preserve">went on to </w:t>
      </w:r>
      <w:r w:rsidRPr="00613A35">
        <w:rPr>
          <w:b/>
          <w:bCs w:val="0"/>
        </w:rPr>
        <w:t>study toward</w:t>
      </w:r>
      <w:r w:rsidR="00C341F4">
        <w:rPr>
          <w:b/>
          <w:bCs w:val="0"/>
        </w:rPr>
        <w:t>s</w:t>
      </w:r>
      <w:r w:rsidRPr="00613A35">
        <w:rPr>
          <w:b/>
          <w:bCs w:val="0"/>
        </w:rPr>
        <w:t xml:space="preserve"> a first degree in academic colleges</w:t>
      </w:r>
      <w:r>
        <w:t xml:space="preserve"> was higher than their percentage out of all students in Hebrew education (51.0% compared with 40.4%, respectively).</w:t>
      </w:r>
    </w:p>
    <w:p w:rsidR="006C2FB0" w:rsidRPr="00CF7EE0" w:rsidRDefault="006C2FB0" w:rsidP="003F1D00">
      <w:pPr>
        <w:pStyle w:val="bullet1"/>
        <w:pBdr>
          <w:left w:val="single" w:sz="4" w:space="8" w:color="auto"/>
          <w:bottom w:val="single" w:sz="4" w:space="8" w:color="auto"/>
          <w:right w:val="single" w:sz="4" w:space="6" w:color="auto"/>
        </w:pBdr>
        <w:spacing w:after="60" w:line="360" w:lineRule="atLeast"/>
        <w:ind w:left="714" w:hanging="357"/>
      </w:pPr>
      <w:r>
        <w:t xml:space="preserve">There were </w:t>
      </w:r>
      <w:r w:rsidR="00BA5452">
        <w:t>2,101</w:t>
      </w:r>
      <w:r>
        <w:t xml:space="preserve"> </w:t>
      </w:r>
      <w:r w:rsidRPr="00FB3008">
        <w:rPr>
          <w:b/>
          <w:bCs w:val="0"/>
        </w:rPr>
        <w:t>active athletes</w:t>
      </w:r>
      <w:r>
        <w:t xml:space="preserve"> of Ethiopian origin</w:t>
      </w:r>
      <w:r w:rsidR="00FD394F">
        <w:t xml:space="preserve"> in 201</w:t>
      </w:r>
      <w:r w:rsidR="00BA5452">
        <w:t>8</w:t>
      </w:r>
      <w:r w:rsidR="00FD394F">
        <w:t>/1</w:t>
      </w:r>
      <w:r w:rsidR="00BA5452">
        <w:t>9,</w:t>
      </w:r>
      <w:r w:rsidR="00FD394F">
        <w:t xml:space="preserve"> </w:t>
      </w:r>
      <w:r w:rsidR="00D6470C">
        <w:t>approximately 1.</w:t>
      </w:r>
      <w:r w:rsidR="00BA5452">
        <w:t>7</w:t>
      </w:r>
      <w:r w:rsidR="00D6470C">
        <w:t>% of the total number of active athletes.</w:t>
      </w:r>
    </w:p>
    <w:p w:rsidR="00CF7EE0" w:rsidRPr="00CF7EE0" w:rsidRDefault="00CF7EE0" w:rsidP="003F1D00">
      <w:pPr>
        <w:pStyle w:val="bullet1"/>
        <w:pBdr>
          <w:left w:val="single" w:sz="4" w:space="8" w:color="auto"/>
          <w:bottom w:val="single" w:sz="4" w:space="8" w:color="auto"/>
          <w:right w:val="single" w:sz="4" w:space="6" w:color="auto"/>
        </w:pBdr>
        <w:spacing w:after="60" w:line="360" w:lineRule="atLeast"/>
        <w:ind w:left="714" w:hanging="357"/>
      </w:pPr>
      <w:r w:rsidRPr="00CF7EE0">
        <w:rPr>
          <w:b/>
        </w:rPr>
        <w:t>Net money income per household</w:t>
      </w:r>
      <w:r w:rsidRPr="00CF7EE0">
        <w:t xml:space="preserve"> among persons of Ethiopian origin</w:t>
      </w:r>
      <w:r w:rsidR="006A75E3" w:rsidRPr="00CF7EE0">
        <w:rPr>
          <w:rStyle w:val="FootnoteReference"/>
          <w:rFonts w:asciiTheme="minorBidi" w:hAnsiTheme="minorBidi" w:cstheme="minorBidi"/>
          <w:szCs w:val="24"/>
        </w:rPr>
        <w:footnoteReference w:id="3"/>
      </w:r>
      <w:r w:rsidRPr="00CF7EE0">
        <w:t xml:space="preserve"> </w:t>
      </w:r>
      <w:r w:rsidR="006A75E3">
        <w:t>was</w:t>
      </w:r>
      <w:r w:rsidRPr="00CF7EE0">
        <w:t xml:space="preserve"> NIS </w:t>
      </w:r>
      <w:r w:rsidR="006A75E3">
        <w:t>1</w:t>
      </w:r>
      <w:r w:rsidR="00BA5452">
        <w:t>4</w:t>
      </w:r>
      <w:r w:rsidR="006A75E3">
        <w:t>,</w:t>
      </w:r>
      <w:r w:rsidR="00BA5452">
        <w:t>027</w:t>
      </w:r>
      <w:r w:rsidRPr="00CF7EE0">
        <w:t xml:space="preserve">, compared with NIS </w:t>
      </w:r>
      <w:r w:rsidR="006A75E3">
        <w:t>1</w:t>
      </w:r>
      <w:r w:rsidR="00BA5452">
        <w:t>7</w:t>
      </w:r>
      <w:r w:rsidR="006A75E3">
        <w:t>,</w:t>
      </w:r>
      <w:r w:rsidR="00BA5452">
        <w:t>276</w:t>
      </w:r>
      <w:r w:rsidRPr="00CF7EE0">
        <w:t xml:space="preserve"> among households in the </w:t>
      </w:r>
      <w:r w:rsidR="00DB3D9F">
        <w:t xml:space="preserve">overall </w:t>
      </w:r>
      <w:r w:rsidRPr="00CF7EE0">
        <w:t xml:space="preserve">population, whereas </w:t>
      </w:r>
      <w:r w:rsidRPr="00CF7EE0">
        <w:rPr>
          <w:b/>
        </w:rPr>
        <w:t>money expenditure</w:t>
      </w:r>
      <w:r w:rsidRPr="00C02B93">
        <w:rPr>
          <w:rStyle w:val="FootnoteReference"/>
          <w:rFonts w:asciiTheme="minorBidi" w:hAnsiTheme="minorBidi" w:cstheme="minorBidi"/>
          <w:szCs w:val="24"/>
        </w:rPr>
        <w:footnoteReference w:id="4"/>
      </w:r>
      <w:r w:rsidRPr="00CF7EE0">
        <w:t xml:space="preserve"> </w:t>
      </w:r>
      <w:r w:rsidR="006A75E3">
        <w:t>was</w:t>
      </w:r>
      <w:r w:rsidRPr="00CF7EE0">
        <w:t xml:space="preserve"> NIS </w:t>
      </w:r>
      <w:r w:rsidR="00BA5452">
        <w:t>9</w:t>
      </w:r>
      <w:r w:rsidR="006A75E3">
        <w:t>,</w:t>
      </w:r>
      <w:r w:rsidR="00BA5452">
        <w:t>303</w:t>
      </w:r>
      <w:r w:rsidRPr="00CF7EE0">
        <w:t xml:space="preserve">, compared to NIS </w:t>
      </w:r>
      <w:r w:rsidR="006A75E3">
        <w:t>13,</w:t>
      </w:r>
      <w:r w:rsidR="00BA5452">
        <w:t>32</w:t>
      </w:r>
      <w:r w:rsidR="006A75E3">
        <w:t>4</w:t>
      </w:r>
      <w:r w:rsidRPr="00CF7EE0">
        <w:t xml:space="preserve"> </w:t>
      </w:r>
      <w:r w:rsidR="000F436B">
        <w:t>in</w:t>
      </w:r>
      <w:r w:rsidRPr="00CF7EE0">
        <w:t xml:space="preserve"> the </w:t>
      </w:r>
      <w:r w:rsidR="000F436B">
        <w:t>overall</w:t>
      </w:r>
      <w:r w:rsidRPr="00CF7EE0">
        <w:t xml:space="preserve"> population.</w:t>
      </w:r>
    </w:p>
    <w:p w:rsidR="009D13A8" w:rsidRPr="003B3F63" w:rsidRDefault="009D13A8" w:rsidP="003B3F63">
      <w:pPr>
        <w:pStyle w:val="text1"/>
      </w:pPr>
      <w:r w:rsidRPr="003B3F63">
        <w:br w:type="page"/>
      </w:r>
    </w:p>
    <w:p w:rsidR="00A25146" w:rsidRPr="00CF7EE0" w:rsidRDefault="00A25146" w:rsidP="000F495A">
      <w:pPr>
        <w:pStyle w:val="Heading2"/>
      </w:pPr>
      <w:r w:rsidRPr="00C8721F">
        <w:lastRenderedPageBreak/>
        <w:t>P</w:t>
      </w:r>
      <w:r w:rsidR="00DD3374" w:rsidRPr="00C8721F">
        <w:t>opu</w:t>
      </w:r>
      <w:r w:rsidRPr="00C8721F">
        <w:t>lation</w:t>
      </w:r>
    </w:p>
    <w:p w:rsidR="00796A2F" w:rsidRPr="00975F45" w:rsidRDefault="00796A2F" w:rsidP="00975F45">
      <w:r w:rsidRPr="00975F45">
        <w:t>At the end of 201</w:t>
      </w:r>
      <w:r w:rsidR="00CC75F9" w:rsidRPr="00975F45">
        <w:t>9</w:t>
      </w:r>
      <w:r w:rsidRPr="00975F45">
        <w:t xml:space="preserve">, the </w:t>
      </w:r>
      <w:r w:rsidR="008A1EF4" w:rsidRPr="00975F45">
        <w:t>population of Ethiopian origin</w:t>
      </w:r>
      <w:r w:rsidRPr="00975F45">
        <w:t xml:space="preserve"> in Israel numbered </w:t>
      </w:r>
      <w:r w:rsidR="004F28C3" w:rsidRPr="00975F45">
        <w:t>15</w:t>
      </w:r>
      <w:r w:rsidR="00CC75F9" w:rsidRPr="00975F45">
        <w:t>5</w:t>
      </w:r>
      <w:r w:rsidR="004F28C3" w:rsidRPr="00975F45">
        <w:t>,</w:t>
      </w:r>
      <w:r w:rsidR="00CC75F9" w:rsidRPr="00975F45">
        <w:t>3</w:t>
      </w:r>
      <w:r w:rsidR="004F28C3" w:rsidRPr="00975F45">
        <w:t>00</w:t>
      </w:r>
      <w:r w:rsidRPr="00975F45">
        <w:t xml:space="preserve"> residents. Approximately</w:t>
      </w:r>
      <w:r w:rsidR="00A27DE3" w:rsidRPr="00975F45">
        <w:t xml:space="preserve"> </w:t>
      </w:r>
      <w:r w:rsidR="004F28C3" w:rsidRPr="00975F45">
        <w:t>8</w:t>
      </w:r>
      <w:r w:rsidR="00CC75F9" w:rsidRPr="00975F45">
        <w:t>7</w:t>
      </w:r>
      <w:r w:rsidR="004F28C3" w:rsidRPr="00975F45">
        <w:t>,</w:t>
      </w:r>
      <w:r w:rsidR="00CC75F9" w:rsidRPr="00975F45">
        <w:t>5</w:t>
      </w:r>
      <w:r w:rsidR="004F28C3" w:rsidRPr="00975F45">
        <w:t>00 (5</w:t>
      </w:r>
      <w:r w:rsidR="00CC75F9" w:rsidRPr="00975F45">
        <w:t>6</w:t>
      </w:r>
      <w:r w:rsidR="00A27DE3" w:rsidRPr="00975F45">
        <w:t>%</w:t>
      </w:r>
      <w:r w:rsidR="004F28C3" w:rsidRPr="00975F45">
        <w:t>)</w:t>
      </w:r>
      <w:r w:rsidRPr="00975F45">
        <w:t xml:space="preserve"> were born in Ethiopia</w:t>
      </w:r>
      <w:r w:rsidR="00C32320" w:rsidRPr="00975F45">
        <w:t>,</w:t>
      </w:r>
      <w:r w:rsidRPr="00975F45">
        <w:t xml:space="preserve"> and </w:t>
      </w:r>
      <w:r w:rsidR="004F28C3" w:rsidRPr="00975F45">
        <w:t>6</w:t>
      </w:r>
      <w:r w:rsidR="00CC75F9" w:rsidRPr="00975F45">
        <w:t>7</w:t>
      </w:r>
      <w:r w:rsidR="004F28C3" w:rsidRPr="00975F45">
        <w:t>,</w:t>
      </w:r>
      <w:r w:rsidR="00CC75F9" w:rsidRPr="00975F45">
        <w:t>8</w:t>
      </w:r>
      <w:r w:rsidR="004F28C3" w:rsidRPr="00975F45">
        <w:t>00 (approximately 4</w:t>
      </w:r>
      <w:r w:rsidR="00CC75F9" w:rsidRPr="00975F45">
        <w:t>4</w:t>
      </w:r>
      <w:r w:rsidR="004F28C3" w:rsidRPr="00975F45">
        <w:t>%)</w:t>
      </w:r>
      <w:r w:rsidR="00A27DE3" w:rsidRPr="00975F45">
        <w:t xml:space="preserve"> </w:t>
      </w:r>
      <w:r w:rsidRPr="00975F45">
        <w:t>were</w:t>
      </w:r>
      <w:r w:rsidR="00DB4B6E" w:rsidRPr="00975F45">
        <w:t xml:space="preserve"> persons</w:t>
      </w:r>
      <w:r w:rsidRPr="00975F45">
        <w:t xml:space="preserve"> born </w:t>
      </w:r>
      <w:r w:rsidR="00C32320" w:rsidRPr="00975F45">
        <w:t xml:space="preserve">in Israel </w:t>
      </w:r>
      <w:r w:rsidR="00FD4AE1" w:rsidRPr="00975F45">
        <w:t xml:space="preserve">whose </w:t>
      </w:r>
      <w:r w:rsidRPr="00975F45">
        <w:t xml:space="preserve">fathers </w:t>
      </w:r>
      <w:r w:rsidR="00E5033A" w:rsidRPr="00975F45">
        <w:t xml:space="preserve">were </w:t>
      </w:r>
      <w:r w:rsidRPr="00975F45">
        <w:t>born in Ethiopia</w:t>
      </w:r>
      <w:r w:rsidR="007023FE" w:rsidRPr="00975F45">
        <w:t>.</w:t>
      </w:r>
    </w:p>
    <w:p w:rsidR="00F874BC" w:rsidRPr="00975F45" w:rsidRDefault="00F4688A" w:rsidP="00975F45">
      <w:pPr>
        <w:pStyle w:val="Heading3"/>
      </w:pPr>
      <w:r w:rsidRPr="00975F45">
        <w:t>Immigration from Ethiopia</w:t>
      </w:r>
    </w:p>
    <w:p w:rsidR="00F4688A" w:rsidRDefault="0005699C" w:rsidP="004243FD">
      <w:pPr>
        <w:pStyle w:val="text1"/>
      </w:pPr>
      <w:r>
        <w:t xml:space="preserve">Approximately </w:t>
      </w:r>
      <w:r w:rsidR="004243FD">
        <w:t>one</w:t>
      </w:r>
      <w:r>
        <w:t>-third</w:t>
      </w:r>
      <w:r w:rsidR="00F4688A" w:rsidRPr="00F4688A">
        <w:t xml:space="preserve"> of the immigrants </w:t>
      </w:r>
      <w:r>
        <w:t xml:space="preserve">from Ethiopia </w:t>
      </w:r>
      <w:r w:rsidR="00F4688A" w:rsidRPr="00F4688A">
        <w:t>arrived in two major waves: the first in the 1980s (Operation Moses) and the second in 199</w:t>
      </w:r>
      <w:r w:rsidR="00185E72">
        <w:t>1</w:t>
      </w:r>
      <w:r w:rsidR="00F4688A" w:rsidRPr="00F4688A">
        <w:t xml:space="preserve"> (Operation Solomon). </w:t>
      </w:r>
      <w:r w:rsidR="009410E1">
        <w:t>I</w:t>
      </w:r>
      <w:r w:rsidR="00F4688A" w:rsidRPr="00F4688A">
        <w:t>mmigration from Ethiopia has declined</w:t>
      </w:r>
      <w:r w:rsidR="009410E1">
        <w:t xml:space="preserve"> in recent years</w:t>
      </w:r>
      <w:r w:rsidR="00F4688A" w:rsidRPr="00F4688A">
        <w:t>.</w:t>
      </w:r>
    </w:p>
    <w:p w:rsidR="00B1407A" w:rsidRDefault="00796A2F" w:rsidP="006B2748">
      <w:pPr>
        <w:pStyle w:val="text1"/>
      </w:pPr>
      <w:r w:rsidRPr="0031203B">
        <w:t>In 201</w:t>
      </w:r>
      <w:r w:rsidR="00CC75F9">
        <w:t>9</w:t>
      </w:r>
      <w:r w:rsidRPr="0031203B">
        <w:t xml:space="preserve">, </w:t>
      </w:r>
      <w:r w:rsidR="00CC75F9">
        <w:t>81</w:t>
      </w:r>
      <w:r w:rsidR="00F30954">
        <w:t>8</w:t>
      </w:r>
      <w:r w:rsidRPr="0031203B">
        <w:t xml:space="preserve"> </w:t>
      </w:r>
      <w:r w:rsidR="00B874F4" w:rsidRPr="0031203B">
        <w:t xml:space="preserve">immigrants </w:t>
      </w:r>
      <w:r w:rsidRPr="0031203B">
        <w:t>arrived in Israel</w:t>
      </w:r>
      <w:r w:rsidR="00B874F4" w:rsidRPr="00B874F4">
        <w:t xml:space="preserve"> </w:t>
      </w:r>
      <w:r w:rsidR="00B874F4">
        <w:t xml:space="preserve">from </w:t>
      </w:r>
      <w:r w:rsidR="00B874F4" w:rsidRPr="0031203B">
        <w:t>Ethiopia</w:t>
      </w:r>
      <w:r w:rsidRPr="0031203B">
        <w:t xml:space="preserve">. </w:t>
      </w:r>
      <w:r w:rsidR="00CC75F9" w:rsidRPr="0031203B">
        <w:t>In 201</w:t>
      </w:r>
      <w:r w:rsidR="00CC75F9">
        <w:t>8</w:t>
      </w:r>
      <w:r w:rsidR="00CC75F9" w:rsidRPr="0031203B">
        <w:t xml:space="preserve">, </w:t>
      </w:r>
      <w:r w:rsidR="00CC75F9">
        <w:t>208</w:t>
      </w:r>
      <w:r w:rsidR="00CC75F9" w:rsidRPr="0031203B">
        <w:t xml:space="preserve"> immigrants arrived </w:t>
      </w:r>
      <w:r w:rsidR="005C6E85">
        <w:t>from E</w:t>
      </w:r>
      <w:r w:rsidR="003076D7">
        <w:t>thiopia,</w:t>
      </w:r>
      <w:r w:rsidR="00ED160D">
        <w:t xml:space="preserve"> </w:t>
      </w:r>
      <w:r w:rsidR="00CC75F9">
        <w:t>and 1,467</w:t>
      </w:r>
      <w:r w:rsidR="00ED160D">
        <w:t xml:space="preserve"> arrived</w:t>
      </w:r>
      <w:r w:rsidR="006B2748">
        <w:t xml:space="preserve"> in 2017</w:t>
      </w:r>
      <w:r w:rsidR="00CC75F9" w:rsidRPr="0031203B">
        <w:t>.</w:t>
      </w:r>
    </w:p>
    <w:p w:rsidR="00B1407A" w:rsidRPr="00975F45" w:rsidRDefault="00B1407A" w:rsidP="00975F45">
      <w:pPr>
        <w:jc w:val="center"/>
        <w:rPr>
          <w:b/>
          <w:bCs/>
          <w:rtl/>
        </w:rPr>
      </w:pPr>
      <w:r w:rsidRPr="00975F45">
        <w:rPr>
          <w:b/>
          <w:bCs/>
        </w:rPr>
        <w:t>Diagram 1</w:t>
      </w:r>
      <w:r w:rsidR="00E754C3" w:rsidRPr="00975F45">
        <w:rPr>
          <w:b/>
          <w:bCs/>
        </w:rPr>
        <w:t xml:space="preserve"> -</w:t>
      </w:r>
      <w:r w:rsidRPr="00975F45">
        <w:rPr>
          <w:b/>
          <w:bCs/>
        </w:rPr>
        <w:t xml:space="preserve"> Immigrants from Ethiopia, 1984</w:t>
      </w:r>
      <w:r w:rsidR="00700EA8" w:rsidRPr="00975F45">
        <w:rPr>
          <w:b/>
          <w:bCs/>
        </w:rPr>
        <w:t>–</w:t>
      </w:r>
      <w:r w:rsidRPr="00975F45">
        <w:rPr>
          <w:b/>
          <w:bCs/>
        </w:rPr>
        <w:t>201</w:t>
      </w:r>
      <w:r w:rsidR="00CC75F9" w:rsidRPr="00975F45">
        <w:rPr>
          <w:b/>
          <w:bCs/>
        </w:rPr>
        <w:t>9</w:t>
      </w:r>
      <w:r w:rsidR="00185E72" w:rsidRPr="00975F45">
        <w:rPr>
          <w:b/>
          <w:bCs/>
        </w:rPr>
        <w:t>,</w:t>
      </w:r>
      <w:r w:rsidRPr="00975F45">
        <w:rPr>
          <w:b/>
          <w:bCs/>
        </w:rPr>
        <w:t xml:space="preserve"> Absolute Numbers</w:t>
      </w:r>
    </w:p>
    <w:p w:rsidR="00AD1568" w:rsidRDefault="00916FC0" w:rsidP="00C21133">
      <w:pPr>
        <w:pStyle w:val="diagram"/>
      </w:pPr>
      <w:r>
        <w:rPr>
          <w:noProof/>
          <w:lang w:eastAsia="en-US"/>
        </w:rPr>
        <w:drawing>
          <wp:inline distT="0" distB="0" distL="0" distR="0" wp14:anchorId="6D7A3563" wp14:editId="045EF946">
            <wp:extent cx="5495705" cy="3777894"/>
            <wp:effectExtent l="0" t="0" r="0" b="0"/>
            <wp:docPr id="3" name="Picture 3" descr="Diagram 1 - Immigrants from Ethiopia, 1984-2019, Absolute Numbers" title="Diagram 1 - Immigrants from Ethiopia, 1984-2019, Absolute Numb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93634" cy="3776470"/>
                    </a:xfrm>
                    <a:prstGeom prst="rect">
                      <a:avLst/>
                    </a:prstGeom>
                    <a:noFill/>
                  </pic:spPr>
                </pic:pic>
              </a:graphicData>
            </a:graphic>
          </wp:inline>
        </w:drawing>
      </w:r>
    </w:p>
    <w:p w:rsidR="005B21AB" w:rsidRDefault="005B21AB" w:rsidP="005B4E89">
      <w:pPr>
        <w:pStyle w:val="text1"/>
      </w:pPr>
      <w:r>
        <w:br w:type="page"/>
      </w:r>
    </w:p>
    <w:p w:rsidR="00A670B7" w:rsidRPr="00C8721F" w:rsidRDefault="00A670B7" w:rsidP="00975F45">
      <w:pPr>
        <w:pStyle w:val="Heading3"/>
      </w:pPr>
      <w:r w:rsidRPr="00C8721F">
        <w:t>Age Composition</w:t>
      </w:r>
    </w:p>
    <w:p w:rsidR="00490E3A" w:rsidRDefault="00490E3A" w:rsidP="00975F45">
      <w:r>
        <w:t>At the end of 201</w:t>
      </w:r>
      <w:r w:rsidR="00916FC0">
        <w:t>9</w:t>
      </w:r>
      <w:r w:rsidR="0043714C">
        <w:t xml:space="preserve">, </w:t>
      </w:r>
      <w:r>
        <w:t xml:space="preserve">children of Ethiopian origin </w:t>
      </w:r>
      <w:r w:rsidR="00FD4AE1">
        <w:t>between the ages of</w:t>
      </w:r>
      <w:r>
        <w:t xml:space="preserve"> 0 to 14</w:t>
      </w:r>
      <w:r w:rsidR="00FD4AE1">
        <w:t xml:space="preserve"> comprised </w:t>
      </w:r>
      <w:r>
        <w:t>2</w:t>
      </w:r>
      <w:r w:rsidR="00916FC0">
        <w:t>6</w:t>
      </w:r>
      <w:r>
        <w:t>.</w:t>
      </w:r>
      <w:r w:rsidR="00916FC0">
        <w:t>7</w:t>
      </w:r>
      <w:r>
        <w:t xml:space="preserve">% of that population (of </w:t>
      </w:r>
      <w:r w:rsidR="00F54C6C">
        <w:t>whom</w:t>
      </w:r>
      <w:r>
        <w:t xml:space="preserve"> approximately 90.0% were born in Israel)</w:t>
      </w:r>
      <w:r w:rsidR="0043714C">
        <w:t xml:space="preserve">. </w:t>
      </w:r>
      <w:r>
        <w:t xml:space="preserve">The percentage of persons aged 65 and </w:t>
      </w:r>
      <w:r w:rsidR="003925D1">
        <w:t xml:space="preserve">over </w:t>
      </w:r>
      <w:r>
        <w:t>among the population of Ethiopian origin was 6.</w:t>
      </w:r>
      <w:r w:rsidR="00916FC0">
        <w:t>4</w:t>
      </w:r>
      <w:r>
        <w:t>% (</w:t>
      </w:r>
      <w:r w:rsidR="00EB6678">
        <w:t>most</w:t>
      </w:r>
      <w:r>
        <w:t xml:space="preserve"> of </w:t>
      </w:r>
      <w:r w:rsidR="00CB70A6">
        <w:t>whom</w:t>
      </w:r>
      <w:r>
        <w:t xml:space="preserve"> </w:t>
      </w:r>
      <w:r w:rsidR="003076D7">
        <w:t xml:space="preserve">were </w:t>
      </w:r>
      <w:r>
        <w:t>born abroad).</w:t>
      </w:r>
    </w:p>
    <w:p w:rsidR="00490E3A" w:rsidRDefault="00490E3A" w:rsidP="00975F45">
      <w:r>
        <w:t xml:space="preserve">By way of comparison, </w:t>
      </w:r>
      <w:r w:rsidR="0009673A">
        <w:t xml:space="preserve">the proportion of </w:t>
      </w:r>
      <w:r w:rsidR="00D777B7">
        <w:t xml:space="preserve">persons aged 0 to 14 among the </w:t>
      </w:r>
      <w:r w:rsidR="00A912C3">
        <w:t>overall</w:t>
      </w:r>
      <w:r w:rsidR="00D777B7">
        <w:t xml:space="preserve"> </w:t>
      </w:r>
      <w:r w:rsidR="003076D7">
        <w:t xml:space="preserve">population of </w:t>
      </w:r>
      <w:r w:rsidR="00D777B7">
        <w:t xml:space="preserve">Jews and Others that year was identical to that of the population of Ethiopian origin: 27.1%. The proportion of persons aged 65 and over </w:t>
      </w:r>
      <w:r w:rsidR="00CD18C5">
        <w:t xml:space="preserve">among the population </w:t>
      </w:r>
      <w:r w:rsidR="00FF1F24">
        <w:t xml:space="preserve">of Jews and Others </w:t>
      </w:r>
      <w:r w:rsidR="00CD18C5">
        <w:t>was 13.</w:t>
      </w:r>
      <w:r w:rsidR="00916FC0">
        <w:t>8</w:t>
      </w:r>
      <w:r w:rsidR="00CD18C5">
        <w:t>%, more than twice their proportion of the population of persons of Ethiopian origin.</w:t>
      </w:r>
    </w:p>
    <w:p w:rsidR="0090492C" w:rsidRPr="00975F45" w:rsidRDefault="0090492C" w:rsidP="00975F45">
      <w:pPr>
        <w:jc w:val="center"/>
        <w:rPr>
          <w:b/>
          <w:bCs/>
        </w:rPr>
      </w:pPr>
      <w:r w:rsidRPr="00975F45">
        <w:rPr>
          <w:b/>
          <w:bCs/>
        </w:rPr>
        <w:t xml:space="preserve">Diagram </w:t>
      </w:r>
      <w:r w:rsidR="00C56564" w:rsidRPr="00975F45">
        <w:rPr>
          <w:b/>
          <w:bCs/>
        </w:rPr>
        <w:t>2</w:t>
      </w:r>
      <w:r w:rsidR="00E754C3" w:rsidRPr="00975F45">
        <w:rPr>
          <w:b/>
          <w:bCs/>
        </w:rPr>
        <w:t xml:space="preserve"> -</w:t>
      </w:r>
      <w:r w:rsidRPr="00975F45">
        <w:rPr>
          <w:b/>
          <w:bCs/>
        </w:rPr>
        <w:t xml:space="preserve"> </w:t>
      </w:r>
      <w:r w:rsidR="004318E9" w:rsidRPr="00975F45">
        <w:rPr>
          <w:b/>
          <w:bCs/>
        </w:rPr>
        <w:t>The Population of Persons of Ethiopian Origin,</w:t>
      </w:r>
      <w:r w:rsidR="00A52483" w:rsidRPr="00975F45">
        <w:rPr>
          <w:b/>
          <w:bCs/>
        </w:rPr>
        <w:br/>
      </w:r>
      <w:r w:rsidR="004318E9" w:rsidRPr="00975F45">
        <w:rPr>
          <w:b/>
          <w:bCs/>
        </w:rPr>
        <w:t xml:space="preserve">by Age and Sex, </w:t>
      </w:r>
      <w:r w:rsidR="00F85AFD" w:rsidRPr="00975F45">
        <w:rPr>
          <w:b/>
          <w:bCs/>
        </w:rPr>
        <w:t xml:space="preserve">at the </w:t>
      </w:r>
      <w:r w:rsidR="004318E9" w:rsidRPr="00975F45">
        <w:rPr>
          <w:b/>
          <w:bCs/>
        </w:rPr>
        <w:t>End of 201</w:t>
      </w:r>
      <w:r w:rsidR="00916FC0" w:rsidRPr="00975F45">
        <w:rPr>
          <w:b/>
          <w:bCs/>
        </w:rPr>
        <w:t>9</w:t>
      </w:r>
      <w:r w:rsidR="003925D1" w:rsidRPr="00975F45">
        <w:rPr>
          <w:b/>
          <w:bCs/>
        </w:rPr>
        <w:t>,</w:t>
      </w:r>
      <w:r w:rsidR="004318E9" w:rsidRPr="00975F45">
        <w:rPr>
          <w:b/>
          <w:bCs/>
        </w:rPr>
        <w:t xml:space="preserve"> </w:t>
      </w:r>
      <w:r w:rsidR="00F85AFD" w:rsidRPr="00975F45">
        <w:rPr>
          <w:b/>
          <w:bCs/>
        </w:rPr>
        <w:t>A</w:t>
      </w:r>
      <w:r w:rsidR="004318E9" w:rsidRPr="00975F45">
        <w:rPr>
          <w:b/>
          <w:bCs/>
        </w:rPr>
        <w:t xml:space="preserve">bsolute </w:t>
      </w:r>
      <w:r w:rsidR="00F85AFD" w:rsidRPr="00975F45">
        <w:rPr>
          <w:b/>
          <w:bCs/>
        </w:rPr>
        <w:t>N</w:t>
      </w:r>
      <w:r w:rsidR="004318E9" w:rsidRPr="00975F45">
        <w:rPr>
          <w:b/>
          <w:bCs/>
        </w:rPr>
        <w:t>umbers</w:t>
      </w:r>
    </w:p>
    <w:p w:rsidR="0090492C" w:rsidRDefault="008F3196" w:rsidP="00C21133">
      <w:pPr>
        <w:pStyle w:val="diagram"/>
      </w:pPr>
      <w:r>
        <w:rPr>
          <w:noProof/>
          <w:lang w:eastAsia="en-US"/>
        </w:rPr>
        <w:drawing>
          <wp:inline distT="0" distB="0" distL="0" distR="0" wp14:anchorId="08F4D49E" wp14:editId="338D7522">
            <wp:extent cx="6042660" cy="4594860"/>
            <wp:effectExtent l="0" t="0" r="0" b="0"/>
            <wp:docPr id="10" name="Picture 10" descr="Diagram 2 - The Population of Persons of Ethiopian Origin,&#10;by Age and Sex, at the End of 2019, Absolute Numbers&#10;" title="Diagram 2 - The Population of Persons of Ethiopian Orig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42660" cy="4594860"/>
                    </a:xfrm>
                    <a:prstGeom prst="rect">
                      <a:avLst/>
                    </a:prstGeom>
                    <a:noFill/>
                  </pic:spPr>
                </pic:pic>
              </a:graphicData>
            </a:graphic>
          </wp:inline>
        </w:drawing>
      </w:r>
    </w:p>
    <w:p w:rsidR="00FE5B61" w:rsidRDefault="00FE5B61" w:rsidP="005B4E89">
      <w:pPr>
        <w:pStyle w:val="text1"/>
      </w:pPr>
      <w:r>
        <w:br w:type="page"/>
      </w:r>
    </w:p>
    <w:p w:rsidR="00195816" w:rsidRPr="00D67363" w:rsidRDefault="00195816" w:rsidP="00975F45">
      <w:pPr>
        <w:pStyle w:val="Heading3"/>
      </w:pPr>
      <w:r w:rsidRPr="00D67363">
        <w:t>Geographic Distribution</w:t>
      </w:r>
    </w:p>
    <w:p w:rsidR="00195816" w:rsidRPr="0031203B" w:rsidRDefault="002F56A7" w:rsidP="00975F45">
      <w:r w:rsidRPr="0031203B">
        <w:t xml:space="preserve">Of the </w:t>
      </w:r>
      <w:r>
        <w:t>population of Ethiopian origin,</w:t>
      </w:r>
      <w:r w:rsidRPr="0031203B">
        <w:t xml:space="preserve"> </w:t>
      </w:r>
      <w:r w:rsidR="00DD58E0">
        <w:t>45%</w:t>
      </w:r>
      <w:r w:rsidR="00195816" w:rsidRPr="0031203B">
        <w:t xml:space="preserve"> live </w:t>
      </w:r>
      <w:r w:rsidR="008A6C07">
        <w:t>in the</w:t>
      </w:r>
      <w:r w:rsidR="008A6C07" w:rsidRPr="008A6C07">
        <w:t xml:space="preserve"> </w:t>
      </w:r>
      <w:r w:rsidR="0043714C" w:rsidRPr="008A6C07">
        <w:t>centre</w:t>
      </w:r>
      <w:r w:rsidR="008A6C07" w:rsidRPr="008A6C07">
        <w:t xml:space="preserve"> of the country</w:t>
      </w:r>
      <w:r w:rsidR="00195816" w:rsidRPr="0031203B">
        <w:t xml:space="preserve">: </w:t>
      </w:r>
      <w:r w:rsidR="00F82C53">
        <w:t>5</w:t>
      </w:r>
      <w:r w:rsidR="005B21AB">
        <w:t>9</w:t>
      </w:r>
      <w:r w:rsidR="00F82C53">
        <w:t xml:space="preserve">,000 persons </w:t>
      </w:r>
      <w:r w:rsidR="00444120">
        <w:t>(38.</w:t>
      </w:r>
      <w:r w:rsidR="005B21AB">
        <w:t>1</w:t>
      </w:r>
      <w:r w:rsidR="00444120" w:rsidRPr="0031203B">
        <w:t xml:space="preserve">%) </w:t>
      </w:r>
      <w:r w:rsidR="00AE0E2A">
        <w:t xml:space="preserve">live </w:t>
      </w:r>
      <w:r w:rsidR="00F82C53">
        <w:t xml:space="preserve">in </w:t>
      </w:r>
      <w:r w:rsidR="00195816" w:rsidRPr="0031203B">
        <w:t>the Central Dist</w:t>
      </w:r>
      <w:r w:rsidR="005F280D">
        <w:t xml:space="preserve">rict </w:t>
      </w:r>
      <w:r w:rsidR="00195816" w:rsidRPr="0031203B">
        <w:t xml:space="preserve">and </w:t>
      </w:r>
      <w:r w:rsidR="00AE0E2A">
        <w:t xml:space="preserve">approximately </w:t>
      </w:r>
      <w:r w:rsidR="00F82C53">
        <w:t>10,000 persons</w:t>
      </w:r>
      <w:r w:rsidR="00AE0E2A">
        <w:t xml:space="preserve"> (6.</w:t>
      </w:r>
      <w:r w:rsidR="005B21AB">
        <w:t>7</w:t>
      </w:r>
      <w:r w:rsidR="00AE0E2A">
        <w:t>%</w:t>
      </w:r>
      <w:r w:rsidR="00444120">
        <w:t>)</w:t>
      </w:r>
      <w:r w:rsidR="00F82C53">
        <w:t xml:space="preserve"> </w:t>
      </w:r>
      <w:r w:rsidR="00AE0E2A">
        <w:t xml:space="preserve">live </w:t>
      </w:r>
      <w:r w:rsidR="00F82C53">
        <w:t xml:space="preserve">in </w:t>
      </w:r>
      <w:r w:rsidR="00195816" w:rsidRPr="0031203B">
        <w:t xml:space="preserve">the </w:t>
      </w:r>
      <w:r>
        <w:t>Tel Aviv</w:t>
      </w:r>
      <w:r w:rsidR="00195816" w:rsidRPr="0031203B">
        <w:t xml:space="preserve"> District. </w:t>
      </w:r>
      <w:r w:rsidR="00DD58E0">
        <w:t>A</w:t>
      </w:r>
      <w:r>
        <w:t>pproximately one-</w:t>
      </w:r>
      <w:r w:rsidR="00DD58E0">
        <w:t>quarter of the population</w:t>
      </w:r>
      <w:r w:rsidR="009B3FA2">
        <w:t xml:space="preserve"> (3</w:t>
      </w:r>
      <w:r w:rsidR="005B21AB">
        <w:t>9</w:t>
      </w:r>
      <w:r w:rsidR="009B3FA2">
        <w:t>,</w:t>
      </w:r>
      <w:r w:rsidR="005B21AB">
        <w:t>0</w:t>
      </w:r>
      <w:r w:rsidR="009B3FA2">
        <w:t>00 persons)</w:t>
      </w:r>
      <w:r w:rsidR="00DD58E0">
        <w:t xml:space="preserve"> lives in the </w:t>
      </w:r>
      <w:r w:rsidR="00DD58E0" w:rsidRPr="0031203B">
        <w:t>Southern District</w:t>
      </w:r>
      <w:r w:rsidR="00DD58E0">
        <w:t>.</w:t>
      </w:r>
    </w:p>
    <w:p w:rsidR="00D646AD" w:rsidRPr="00975F45" w:rsidRDefault="00D646AD" w:rsidP="00975F45">
      <w:pPr>
        <w:jc w:val="center"/>
        <w:rPr>
          <w:b/>
          <w:bCs/>
        </w:rPr>
      </w:pPr>
      <w:r w:rsidRPr="00975F45">
        <w:rPr>
          <w:b/>
          <w:bCs/>
        </w:rPr>
        <w:t>Diagram 3</w:t>
      </w:r>
      <w:r w:rsidR="00E754C3" w:rsidRPr="00975F45">
        <w:rPr>
          <w:b/>
          <w:bCs/>
        </w:rPr>
        <w:t xml:space="preserve"> -</w:t>
      </w:r>
      <w:r w:rsidRPr="00975F45">
        <w:rPr>
          <w:b/>
          <w:bCs/>
        </w:rPr>
        <w:t xml:space="preserve"> The </w:t>
      </w:r>
      <w:r w:rsidR="0043714C" w:rsidRPr="00975F45">
        <w:rPr>
          <w:b/>
          <w:bCs/>
        </w:rPr>
        <w:t xml:space="preserve">Population of </w:t>
      </w:r>
      <w:r w:rsidRPr="00975F45">
        <w:rPr>
          <w:b/>
          <w:bCs/>
        </w:rPr>
        <w:t xml:space="preserve">Ethiopian </w:t>
      </w:r>
      <w:r w:rsidR="0043714C" w:rsidRPr="00975F45">
        <w:rPr>
          <w:b/>
          <w:bCs/>
        </w:rPr>
        <w:t>Origin by District</w:t>
      </w:r>
      <w:r w:rsidRPr="00975F45">
        <w:rPr>
          <w:b/>
          <w:bCs/>
        </w:rPr>
        <w:t>, 201</w:t>
      </w:r>
      <w:r w:rsidR="005B21AB" w:rsidRPr="00975F45">
        <w:rPr>
          <w:b/>
          <w:bCs/>
        </w:rPr>
        <w:t>9</w:t>
      </w:r>
      <w:r w:rsidRPr="00975F45">
        <w:rPr>
          <w:b/>
          <w:bCs/>
        </w:rPr>
        <w:t xml:space="preserve"> </w:t>
      </w:r>
      <w:r w:rsidR="00B5275D" w:rsidRPr="00975F45">
        <w:rPr>
          <w:b/>
          <w:bCs/>
        </w:rPr>
        <w:t>(</w:t>
      </w:r>
      <w:r w:rsidRPr="00975F45">
        <w:rPr>
          <w:b/>
          <w:bCs/>
        </w:rPr>
        <w:t>Percentages</w:t>
      </w:r>
      <w:r w:rsidR="00B5275D" w:rsidRPr="00975F45">
        <w:rPr>
          <w:b/>
          <w:bCs/>
        </w:rPr>
        <w:t>)</w:t>
      </w:r>
    </w:p>
    <w:p w:rsidR="005F62AF" w:rsidRDefault="005B21AB" w:rsidP="00C21133">
      <w:pPr>
        <w:pStyle w:val="diagram"/>
      </w:pPr>
      <w:r>
        <w:rPr>
          <w:noProof/>
          <w:lang w:eastAsia="en-US"/>
        </w:rPr>
        <w:drawing>
          <wp:inline distT="0" distB="0" distL="0" distR="0" wp14:anchorId="7F8E4660" wp14:editId="102ED55A">
            <wp:extent cx="4594860" cy="3512820"/>
            <wp:effectExtent l="0" t="0" r="0" b="0"/>
            <wp:docPr id="11" name="Picture 11" descr="Diagram 3 - The Population of Ethiopian Origin by District, 2019, Percentages" title="Diagram 3 - The Population of Ethiopian Origin by District, 2019, Percent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94860" cy="3512820"/>
                    </a:xfrm>
                    <a:prstGeom prst="rect">
                      <a:avLst/>
                    </a:prstGeom>
                    <a:noFill/>
                  </pic:spPr>
                </pic:pic>
              </a:graphicData>
            </a:graphic>
          </wp:inline>
        </w:drawing>
      </w:r>
    </w:p>
    <w:p w:rsidR="00F57AE3" w:rsidRDefault="004F0671" w:rsidP="00975F45">
      <w:r w:rsidRPr="004F0671">
        <w:t>At the end of 201</w:t>
      </w:r>
      <w:r w:rsidR="005B21AB">
        <w:t>9</w:t>
      </w:r>
      <w:r w:rsidRPr="004F0671">
        <w:t xml:space="preserve">, the urban locality with the </w:t>
      </w:r>
      <w:r w:rsidR="00FF3585">
        <w:t>highest</w:t>
      </w:r>
      <w:r w:rsidRPr="004F0671">
        <w:t xml:space="preserve"> </w:t>
      </w:r>
      <w:r w:rsidRPr="004F0671">
        <w:rPr>
          <w:b/>
          <w:bCs/>
        </w:rPr>
        <w:t>number</w:t>
      </w:r>
      <w:r w:rsidRPr="004F0671">
        <w:t xml:space="preserve"> of residents of Ethiopian origin was Netanya (1</w:t>
      </w:r>
      <w:r w:rsidR="005B21AB">
        <w:t>2</w:t>
      </w:r>
      <w:r w:rsidRPr="004F0671">
        <w:t>,</w:t>
      </w:r>
      <w:r w:rsidR="005B21AB">
        <w:t>0</w:t>
      </w:r>
      <w:r w:rsidRPr="004F0671">
        <w:t xml:space="preserve">00 persons). The locality with the </w:t>
      </w:r>
      <w:r w:rsidR="00550573">
        <w:t>highest</w:t>
      </w:r>
      <w:r w:rsidRPr="004F0671">
        <w:t xml:space="preserve"> </w:t>
      </w:r>
      <w:r w:rsidRPr="004F0671">
        <w:rPr>
          <w:b/>
          <w:bCs/>
        </w:rPr>
        <w:t>percentage</w:t>
      </w:r>
      <w:r w:rsidRPr="004F0671">
        <w:t xml:space="preserve"> of residents of Ethiopian origin</w:t>
      </w:r>
      <w:r w:rsidR="00550573">
        <w:t>,</w:t>
      </w:r>
      <w:r w:rsidRPr="004F0671">
        <w:t xml:space="preserve"> </w:t>
      </w:r>
      <w:r w:rsidR="00550573">
        <w:t>of the locality’s overall population,</w:t>
      </w:r>
      <w:r w:rsidRPr="004F0671">
        <w:t xml:space="preserve"> was Qiryat Mal</w:t>
      </w:r>
      <w:r w:rsidR="00ED1013">
        <w:t>’</w:t>
      </w:r>
      <w:r w:rsidRPr="004F0671">
        <w:t>akhi (16.</w:t>
      </w:r>
      <w:r w:rsidR="005B21AB">
        <w:t>0</w:t>
      </w:r>
      <w:r w:rsidRPr="004F0671">
        <w:t>%).</w:t>
      </w:r>
      <w:r w:rsidR="008A6C07">
        <w:t xml:space="preserve"> In comparison, less than 2% of the total population of</w:t>
      </w:r>
      <w:r w:rsidR="009D3DBB">
        <w:t xml:space="preserve"> Israel was</w:t>
      </w:r>
      <w:r w:rsidR="008A6C07">
        <w:t xml:space="preserve"> of Ethiopian origin.</w:t>
      </w:r>
      <w:r w:rsidR="00F57AE3">
        <w:br w:type="page"/>
      </w:r>
    </w:p>
    <w:p w:rsidR="00975F45" w:rsidRPr="00975F45" w:rsidRDefault="00195816" w:rsidP="00975F45">
      <w:pPr>
        <w:spacing w:line="240" w:lineRule="auto"/>
        <w:ind w:right="-151"/>
        <w:jc w:val="center"/>
        <w:rPr>
          <w:b/>
          <w:bCs/>
        </w:rPr>
      </w:pPr>
      <w:r w:rsidRPr="00975F45">
        <w:rPr>
          <w:b/>
          <w:bCs/>
        </w:rPr>
        <w:t>Table A</w:t>
      </w:r>
      <w:r w:rsidR="00E754C3" w:rsidRPr="00975F45">
        <w:rPr>
          <w:b/>
          <w:bCs/>
        </w:rPr>
        <w:t xml:space="preserve"> -</w:t>
      </w:r>
      <w:r w:rsidRPr="00975F45">
        <w:rPr>
          <w:b/>
          <w:bCs/>
        </w:rPr>
        <w:t xml:space="preserve"> The </w:t>
      </w:r>
      <w:r w:rsidR="0043714C" w:rsidRPr="00975F45">
        <w:rPr>
          <w:b/>
          <w:bCs/>
        </w:rPr>
        <w:t xml:space="preserve">Population of </w:t>
      </w:r>
      <w:r w:rsidRPr="00975F45">
        <w:rPr>
          <w:b/>
          <w:bCs/>
        </w:rPr>
        <w:t xml:space="preserve">Ethiopian </w:t>
      </w:r>
      <w:r w:rsidR="0043714C" w:rsidRPr="00975F45">
        <w:rPr>
          <w:b/>
          <w:bCs/>
        </w:rPr>
        <w:t xml:space="preserve">Origin </w:t>
      </w:r>
      <w:r w:rsidRPr="00975F45">
        <w:rPr>
          <w:b/>
          <w:bCs/>
        </w:rPr>
        <w:t>at the End of 201</w:t>
      </w:r>
      <w:r w:rsidR="00E754C3" w:rsidRPr="00975F45">
        <w:rPr>
          <w:b/>
          <w:bCs/>
        </w:rPr>
        <w:t>9</w:t>
      </w:r>
      <w:r w:rsidRPr="00975F45">
        <w:rPr>
          <w:b/>
          <w:bCs/>
        </w:rPr>
        <w:t>, in Main Localities (1)</w:t>
      </w:r>
    </w:p>
    <w:tbl>
      <w:tblPr>
        <w:tblpPr w:leftFromText="181" w:rightFromText="181" w:vertAnchor="text" w:tblpXSpec="center" w:tblpY="1"/>
        <w:tblOverlap w:val="neve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Table A - The Population of Ethiopian Origin at the End of 2019, in Main Localities (1)"/>
        <w:tblDescription w:val="Table A - The Population of Ethiopian Origin at the End of 2019, in Main Localities (1)"/>
      </w:tblPr>
      <w:tblGrid>
        <w:gridCol w:w="2684"/>
        <w:gridCol w:w="1590"/>
        <w:gridCol w:w="1788"/>
        <w:gridCol w:w="2126"/>
      </w:tblGrid>
      <w:tr w:rsidR="00F75B54" w:rsidRPr="005F280D" w:rsidTr="007111C0">
        <w:trPr>
          <w:trHeight w:val="975"/>
          <w:tblHeader/>
        </w:trPr>
        <w:tc>
          <w:tcPr>
            <w:tcW w:w="2684" w:type="dxa"/>
            <w:tcBorders>
              <w:bottom w:val="single" w:sz="4" w:space="0" w:color="auto"/>
            </w:tcBorders>
            <w:shd w:val="clear" w:color="auto" w:fill="D9D9D9" w:themeFill="background1" w:themeFillShade="D9"/>
            <w:noWrap/>
            <w:vAlign w:val="center"/>
          </w:tcPr>
          <w:p w:rsidR="00F75B54" w:rsidRPr="007111C0" w:rsidRDefault="002F56A7" w:rsidP="007111C0">
            <w:pPr>
              <w:spacing w:before="120" w:line="240" w:lineRule="auto"/>
              <w:rPr>
                <w:b/>
                <w:bCs/>
              </w:rPr>
            </w:pPr>
            <w:r w:rsidRPr="007111C0">
              <w:rPr>
                <w:b/>
                <w:bCs/>
              </w:rPr>
              <w:t>L</w:t>
            </w:r>
            <w:r w:rsidR="00B02A58" w:rsidRPr="007111C0">
              <w:rPr>
                <w:b/>
                <w:bCs/>
              </w:rPr>
              <w:t>ocality</w:t>
            </w:r>
          </w:p>
        </w:tc>
        <w:tc>
          <w:tcPr>
            <w:tcW w:w="1590" w:type="dxa"/>
            <w:tcBorders>
              <w:bottom w:val="single" w:sz="4" w:space="0" w:color="auto"/>
            </w:tcBorders>
            <w:shd w:val="clear" w:color="auto" w:fill="D9D9D9" w:themeFill="background1" w:themeFillShade="D9"/>
            <w:vAlign w:val="center"/>
          </w:tcPr>
          <w:p w:rsidR="00F75B54" w:rsidRPr="007111C0" w:rsidRDefault="00B02A58" w:rsidP="007111C0">
            <w:pPr>
              <w:spacing w:before="120" w:line="240" w:lineRule="auto"/>
              <w:rPr>
                <w:b/>
                <w:bCs/>
                <w:rtl/>
              </w:rPr>
            </w:pPr>
            <w:r w:rsidRPr="007111C0">
              <w:rPr>
                <w:b/>
                <w:bCs/>
              </w:rPr>
              <w:t>Total population in locality (thousands)</w:t>
            </w:r>
          </w:p>
        </w:tc>
        <w:tc>
          <w:tcPr>
            <w:tcW w:w="1788" w:type="dxa"/>
            <w:tcBorders>
              <w:bottom w:val="single" w:sz="4" w:space="0" w:color="auto"/>
            </w:tcBorders>
            <w:shd w:val="clear" w:color="auto" w:fill="D9D9D9" w:themeFill="background1" w:themeFillShade="D9"/>
            <w:vAlign w:val="center"/>
          </w:tcPr>
          <w:p w:rsidR="00F75B54" w:rsidRPr="007111C0" w:rsidRDefault="00B02A58" w:rsidP="007111C0">
            <w:pPr>
              <w:spacing w:before="120" w:line="240" w:lineRule="auto"/>
              <w:rPr>
                <w:b/>
                <w:bCs/>
              </w:rPr>
            </w:pPr>
            <w:r w:rsidRPr="007111C0">
              <w:rPr>
                <w:b/>
                <w:bCs/>
              </w:rPr>
              <w:t xml:space="preserve">Total </w:t>
            </w:r>
            <w:r w:rsidR="008A1EF4" w:rsidRPr="007111C0">
              <w:rPr>
                <w:b/>
                <w:bCs/>
              </w:rPr>
              <w:t>Population of Ethiopian origin</w:t>
            </w:r>
            <w:r w:rsidRPr="007111C0">
              <w:rPr>
                <w:b/>
                <w:bCs/>
              </w:rPr>
              <w:t xml:space="preserve"> in locality (thousands)</w:t>
            </w:r>
          </w:p>
        </w:tc>
        <w:tc>
          <w:tcPr>
            <w:tcW w:w="2126" w:type="dxa"/>
            <w:tcBorders>
              <w:bottom w:val="single" w:sz="4" w:space="0" w:color="auto"/>
            </w:tcBorders>
            <w:shd w:val="clear" w:color="auto" w:fill="D9D9D9" w:themeFill="background1" w:themeFillShade="D9"/>
            <w:vAlign w:val="center"/>
          </w:tcPr>
          <w:p w:rsidR="00F75B54" w:rsidRPr="007111C0" w:rsidRDefault="00FE5B61" w:rsidP="007111C0">
            <w:pPr>
              <w:spacing w:before="120" w:line="240" w:lineRule="auto"/>
              <w:rPr>
                <w:b/>
                <w:bCs/>
              </w:rPr>
            </w:pPr>
            <w:r w:rsidRPr="007111C0">
              <w:rPr>
                <w:b/>
                <w:bCs/>
              </w:rPr>
              <w:t>Percentage</w:t>
            </w:r>
            <w:r w:rsidR="00B02A58" w:rsidRPr="007111C0">
              <w:rPr>
                <w:b/>
                <w:bCs/>
              </w:rPr>
              <w:t xml:space="preserve"> </w:t>
            </w:r>
            <w:r w:rsidR="008A1EF4" w:rsidRPr="007111C0">
              <w:rPr>
                <w:b/>
                <w:bCs/>
              </w:rPr>
              <w:t>population of Ethiopian origin</w:t>
            </w:r>
            <w:r w:rsidR="00B02A58" w:rsidRPr="007111C0">
              <w:rPr>
                <w:b/>
                <w:bCs/>
              </w:rPr>
              <w:t xml:space="preserve"> out of total population in locality</w:t>
            </w:r>
          </w:p>
        </w:tc>
      </w:tr>
      <w:tr w:rsidR="0050191F" w:rsidRPr="005F2FFF" w:rsidTr="007111C0">
        <w:trPr>
          <w:trHeight w:val="20"/>
        </w:trPr>
        <w:tc>
          <w:tcPr>
            <w:tcW w:w="2684" w:type="dxa"/>
            <w:tcBorders>
              <w:bottom w:val="nil"/>
            </w:tcBorders>
            <w:shd w:val="clear" w:color="auto" w:fill="F2F2F2" w:themeFill="background1" w:themeFillShade="F2"/>
            <w:vAlign w:val="center"/>
          </w:tcPr>
          <w:p w:rsidR="0050191F" w:rsidRPr="005F2FFF" w:rsidRDefault="0050191F" w:rsidP="007111C0">
            <w:pPr>
              <w:spacing w:before="120" w:line="240" w:lineRule="auto"/>
            </w:pPr>
            <w:r w:rsidRPr="005F2FFF">
              <w:t>National Total</w:t>
            </w:r>
          </w:p>
        </w:tc>
        <w:tc>
          <w:tcPr>
            <w:tcW w:w="1590" w:type="dxa"/>
            <w:tcBorders>
              <w:bottom w:val="nil"/>
            </w:tcBorders>
            <w:shd w:val="clear" w:color="auto" w:fill="F2F2F2" w:themeFill="background1" w:themeFillShade="F2"/>
            <w:vAlign w:val="center"/>
          </w:tcPr>
          <w:p w:rsidR="0050191F" w:rsidRPr="00F107A0" w:rsidRDefault="0050191F" w:rsidP="00C82363">
            <w:pPr>
              <w:spacing w:before="120" w:line="240" w:lineRule="auto"/>
              <w:jc w:val="center"/>
            </w:pPr>
            <w:r w:rsidRPr="0050191F">
              <w:t>9,140.5</w:t>
            </w:r>
          </w:p>
        </w:tc>
        <w:tc>
          <w:tcPr>
            <w:tcW w:w="1788" w:type="dxa"/>
            <w:tcBorders>
              <w:bottom w:val="nil"/>
            </w:tcBorders>
            <w:shd w:val="clear" w:color="auto" w:fill="F2F2F2" w:themeFill="background1" w:themeFillShade="F2"/>
            <w:vAlign w:val="center"/>
          </w:tcPr>
          <w:p w:rsidR="0050191F" w:rsidRPr="0050191F" w:rsidRDefault="0050191F" w:rsidP="00C82363">
            <w:pPr>
              <w:spacing w:before="120" w:line="240" w:lineRule="auto"/>
              <w:jc w:val="center"/>
            </w:pPr>
            <w:r w:rsidRPr="0050191F">
              <w:t>155.3</w:t>
            </w:r>
          </w:p>
        </w:tc>
        <w:tc>
          <w:tcPr>
            <w:tcW w:w="2126" w:type="dxa"/>
            <w:tcBorders>
              <w:bottom w:val="nil"/>
            </w:tcBorders>
            <w:shd w:val="clear" w:color="auto" w:fill="F2F2F2" w:themeFill="background1" w:themeFillShade="F2"/>
            <w:noWrap/>
            <w:vAlign w:val="center"/>
          </w:tcPr>
          <w:p w:rsidR="0050191F" w:rsidRPr="0050191F" w:rsidRDefault="0050191F" w:rsidP="00C82363">
            <w:pPr>
              <w:spacing w:before="120" w:line="240" w:lineRule="auto"/>
              <w:jc w:val="center"/>
            </w:pPr>
            <w:r w:rsidRPr="0050191F">
              <w:t>1.7</w:t>
            </w:r>
          </w:p>
        </w:tc>
      </w:tr>
      <w:tr w:rsidR="0050191F" w:rsidRPr="005F280D" w:rsidTr="007111C0">
        <w:trPr>
          <w:trHeight w:val="20"/>
        </w:trPr>
        <w:tc>
          <w:tcPr>
            <w:tcW w:w="2684" w:type="dxa"/>
            <w:tcBorders>
              <w:top w:val="nil"/>
              <w:bottom w:val="nil"/>
            </w:tcBorders>
            <w:shd w:val="clear" w:color="auto" w:fill="FFFFFF"/>
            <w:vAlign w:val="center"/>
          </w:tcPr>
          <w:p w:rsidR="0050191F" w:rsidRPr="005F2FFF" w:rsidRDefault="0050191F" w:rsidP="007111C0">
            <w:pPr>
              <w:spacing w:before="120" w:line="240" w:lineRule="auto"/>
            </w:pPr>
            <w:r w:rsidRPr="005F2FFF">
              <w:t>Netanya</w:t>
            </w:r>
          </w:p>
        </w:tc>
        <w:tc>
          <w:tcPr>
            <w:tcW w:w="1590" w:type="dxa"/>
            <w:tcBorders>
              <w:top w:val="nil"/>
              <w:bottom w:val="nil"/>
            </w:tcBorders>
            <w:shd w:val="clear" w:color="auto" w:fill="FFFFFF"/>
            <w:vAlign w:val="center"/>
          </w:tcPr>
          <w:p w:rsidR="0050191F" w:rsidRPr="00F107A0" w:rsidRDefault="0050191F" w:rsidP="00C82363">
            <w:pPr>
              <w:spacing w:before="120" w:line="240" w:lineRule="auto"/>
              <w:jc w:val="center"/>
            </w:pPr>
            <w:r w:rsidRPr="00F107A0">
              <w:t>221.4</w:t>
            </w:r>
          </w:p>
        </w:tc>
        <w:tc>
          <w:tcPr>
            <w:tcW w:w="1788" w:type="dxa"/>
            <w:tcBorders>
              <w:top w:val="nil"/>
              <w:bottom w:val="nil"/>
            </w:tcBorders>
            <w:shd w:val="clear" w:color="auto" w:fill="FFFFFF"/>
            <w:vAlign w:val="center"/>
          </w:tcPr>
          <w:p w:rsidR="0050191F" w:rsidRPr="00F107A0" w:rsidRDefault="0050191F" w:rsidP="00C82363">
            <w:pPr>
              <w:spacing w:before="120" w:line="240" w:lineRule="auto"/>
              <w:jc w:val="center"/>
            </w:pPr>
            <w:r w:rsidRPr="00F107A0">
              <w:t>12.0</w:t>
            </w:r>
          </w:p>
        </w:tc>
        <w:tc>
          <w:tcPr>
            <w:tcW w:w="2126" w:type="dxa"/>
            <w:tcBorders>
              <w:top w:val="nil"/>
              <w:bottom w:val="nil"/>
            </w:tcBorders>
            <w:shd w:val="clear" w:color="auto" w:fill="auto"/>
            <w:noWrap/>
            <w:vAlign w:val="center"/>
          </w:tcPr>
          <w:p w:rsidR="0050191F" w:rsidRPr="00F107A0" w:rsidRDefault="0050191F" w:rsidP="00C82363">
            <w:pPr>
              <w:spacing w:before="120" w:line="240" w:lineRule="auto"/>
              <w:jc w:val="center"/>
            </w:pPr>
            <w:r w:rsidRPr="00F107A0">
              <w:t>5.4</w:t>
            </w:r>
          </w:p>
        </w:tc>
      </w:tr>
      <w:tr w:rsidR="0050191F" w:rsidRPr="005F280D" w:rsidTr="007111C0">
        <w:trPr>
          <w:trHeight w:val="20"/>
        </w:trPr>
        <w:tc>
          <w:tcPr>
            <w:tcW w:w="2684" w:type="dxa"/>
            <w:tcBorders>
              <w:top w:val="nil"/>
              <w:bottom w:val="nil"/>
            </w:tcBorders>
            <w:shd w:val="clear" w:color="auto" w:fill="F2F2F2" w:themeFill="background1" w:themeFillShade="F2"/>
            <w:vAlign w:val="center"/>
          </w:tcPr>
          <w:p w:rsidR="0050191F" w:rsidRPr="005F2FFF" w:rsidRDefault="0050191F" w:rsidP="007111C0">
            <w:pPr>
              <w:spacing w:before="120" w:line="240" w:lineRule="auto"/>
              <w:rPr>
                <w:rtl/>
              </w:rPr>
            </w:pPr>
            <w:r w:rsidRPr="005F2FFF">
              <w:t>Rishon LeZiyyon</w:t>
            </w:r>
          </w:p>
        </w:tc>
        <w:tc>
          <w:tcPr>
            <w:tcW w:w="1590" w:type="dxa"/>
            <w:tcBorders>
              <w:top w:val="nil"/>
              <w:bottom w:val="nil"/>
            </w:tcBorders>
            <w:shd w:val="clear" w:color="auto" w:fill="F2F2F2" w:themeFill="background1" w:themeFillShade="F2"/>
            <w:vAlign w:val="center"/>
          </w:tcPr>
          <w:p w:rsidR="0050191F" w:rsidRPr="00F107A0" w:rsidRDefault="0050191F" w:rsidP="00C82363">
            <w:pPr>
              <w:spacing w:before="120" w:line="240" w:lineRule="auto"/>
              <w:jc w:val="center"/>
            </w:pPr>
            <w:r w:rsidRPr="00F107A0">
              <w:t>254.4</w:t>
            </w:r>
          </w:p>
        </w:tc>
        <w:tc>
          <w:tcPr>
            <w:tcW w:w="1788" w:type="dxa"/>
            <w:tcBorders>
              <w:top w:val="nil"/>
              <w:bottom w:val="nil"/>
            </w:tcBorders>
            <w:shd w:val="clear" w:color="auto" w:fill="F2F2F2" w:themeFill="background1" w:themeFillShade="F2"/>
            <w:vAlign w:val="center"/>
          </w:tcPr>
          <w:p w:rsidR="0050191F" w:rsidRPr="00F107A0" w:rsidRDefault="0050191F" w:rsidP="00C82363">
            <w:pPr>
              <w:spacing w:before="120" w:line="240" w:lineRule="auto"/>
              <w:jc w:val="center"/>
            </w:pPr>
            <w:r w:rsidRPr="00F107A0">
              <w:t>8.9</w:t>
            </w:r>
          </w:p>
        </w:tc>
        <w:tc>
          <w:tcPr>
            <w:tcW w:w="2126" w:type="dxa"/>
            <w:tcBorders>
              <w:top w:val="nil"/>
              <w:bottom w:val="nil"/>
            </w:tcBorders>
            <w:shd w:val="clear" w:color="auto" w:fill="F2F2F2" w:themeFill="background1" w:themeFillShade="F2"/>
            <w:noWrap/>
            <w:vAlign w:val="center"/>
          </w:tcPr>
          <w:p w:rsidR="0050191F" w:rsidRPr="00F107A0" w:rsidRDefault="0050191F" w:rsidP="00C82363">
            <w:pPr>
              <w:spacing w:before="120" w:line="240" w:lineRule="auto"/>
              <w:jc w:val="center"/>
            </w:pPr>
            <w:r w:rsidRPr="00F107A0">
              <w:t>3.5</w:t>
            </w:r>
          </w:p>
        </w:tc>
      </w:tr>
      <w:tr w:rsidR="0050191F" w:rsidRPr="005F280D" w:rsidTr="007111C0">
        <w:trPr>
          <w:trHeight w:val="20"/>
        </w:trPr>
        <w:tc>
          <w:tcPr>
            <w:tcW w:w="2684" w:type="dxa"/>
            <w:tcBorders>
              <w:top w:val="nil"/>
              <w:bottom w:val="nil"/>
            </w:tcBorders>
            <w:shd w:val="clear" w:color="auto" w:fill="auto"/>
            <w:vAlign w:val="center"/>
          </w:tcPr>
          <w:p w:rsidR="0050191F" w:rsidRPr="005F2FFF" w:rsidRDefault="0050191F" w:rsidP="007111C0">
            <w:pPr>
              <w:spacing w:before="120" w:line="240" w:lineRule="auto"/>
              <w:rPr>
                <w:rtl/>
              </w:rPr>
            </w:pPr>
            <w:r w:rsidRPr="005F2FFF">
              <w:t>Be’er Sheva</w:t>
            </w:r>
          </w:p>
        </w:tc>
        <w:tc>
          <w:tcPr>
            <w:tcW w:w="1590" w:type="dxa"/>
            <w:tcBorders>
              <w:top w:val="nil"/>
              <w:bottom w:val="nil"/>
            </w:tcBorders>
            <w:vAlign w:val="center"/>
          </w:tcPr>
          <w:p w:rsidR="0050191F" w:rsidRPr="00F107A0" w:rsidRDefault="0050191F" w:rsidP="00C82363">
            <w:pPr>
              <w:spacing w:before="120" w:line="240" w:lineRule="auto"/>
              <w:jc w:val="center"/>
            </w:pPr>
            <w:r w:rsidRPr="00F107A0">
              <w:t>209.7</w:t>
            </w:r>
          </w:p>
        </w:tc>
        <w:tc>
          <w:tcPr>
            <w:tcW w:w="1788" w:type="dxa"/>
            <w:tcBorders>
              <w:top w:val="nil"/>
              <w:bottom w:val="nil"/>
            </w:tcBorders>
            <w:shd w:val="clear" w:color="auto" w:fill="auto"/>
            <w:vAlign w:val="center"/>
          </w:tcPr>
          <w:p w:rsidR="0050191F" w:rsidRPr="00F107A0" w:rsidRDefault="0050191F" w:rsidP="00C82363">
            <w:pPr>
              <w:spacing w:before="120" w:line="240" w:lineRule="auto"/>
              <w:jc w:val="center"/>
            </w:pPr>
            <w:r w:rsidRPr="00F107A0">
              <w:t>8.7</w:t>
            </w:r>
          </w:p>
        </w:tc>
        <w:tc>
          <w:tcPr>
            <w:tcW w:w="2126" w:type="dxa"/>
            <w:tcBorders>
              <w:top w:val="nil"/>
              <w:bottom w:val="nil"/>
            </w:tcBorders>
            <w:shd w:val="clear" w:color="auto" w:fill="auto"/>
            <w:noWrap/>
            <w:vAlign w:val="center"/>
          </w:tcPr>
          <w:p w:rsidR="0050191F" w:rsidRPr="00F107A0" w:rsidRDefault="0050191F" w:rsidP="00C82363">
            <w:pPr>
              <w:spacing w:before="120" w:line="240" w:lineRule="auto"/>
              <w:jc w:val="center"/>
            </w:pPr>
            <w:r w:rsidRPr="00F107A0">
              <w:t>4.1</w:t>
            </w:r>
          </w:p>
        </w:tc>
      </w:tr>
      <w:tr w:rsidR="0050191F" w:rsidRPr="005F280D" w:rsidTr="007111C0">
        <w:trPr>
          <w:trHeight w:val="20"/>
        </w:trPr>
        <w:tc>
          <w:tcPr>
            <w:tcW w:w="2684" w:type="dxa"/>
            <w:tcBorders>
              <w:top w:val="nil"/>
              <w:bottom w:val="nil"/>
            </w:tcBorders>
            <w:shd w:val="clear" w:color="auto" w:fill="F2F2F2" w:themeFill="background1" w:themeFillShade="F2"/>
            <w:vAlign w:val="center"/>
          </w:tcPr>
          <w:p w:rsidR="0050191F" w:rsidRPr="005F2FFF" w:rsidRDefault="0050191F" w:rsidP="007111C0">
            <w:pPr>
              <w:spacing w:before="120" w:line="240" w:lineRule="auto"/>
            </w:pPr>
            <w:r w:rsidRPr="005F2FFF">
              <w:t>Petah Tiqwa</w:t>
            </w:r>
          </w:p>
        </w:tc>
        <w:tc>
          <w:tcPr>
            <w:tcW w:w="1590" w:type="dxa"/>
            <w:tcBorders>
              <w:top w:val="nil"/>
              <w:bottom w:val="nil"/>
            </w:tcBorders>
            <w:shd w:val="clear" w:color="auto" w:fill="F2F2F2" w:themeFill="background1" w:themeFillShade="F2"/>
            <w:vAlign w:val="center"/>
          </w:tcPr>
          <w:p w:rsidR="0050191F" w:rsidRPr="00F107A0" w:rsidRDefault="0050191F" w:rsidP="00C82363">
            <w:pPr>
              <w:spacing w:before="120" w:line="240" w:lineRule="auto"/>
              <w:jc w:val="center"/>
            </w:pPr>
            <w:r w:rsidRPr="00F107A0">
              <w:t>248.0</w:t>
            </w:r>
          </w:p>
        </w:tc>
        <w:tc>
          <w:tcPr>
            <w:tcW w:w="1788" w:type="dxa"/>
            <w:tcBorders>
              <w:top w:val="nil"/>
              <w:bottom w:val="nil"/>
            </w:tcBorders>
            <w:shd w:val="clear" w:color="auto" w:fill="F2F2F2" w:themeFill="background1" w:themeFillShade="F2"/>
            <w:vAlign w:val="center"/>
          </w:tcPr>
          <w:p w:rsidR="0050191F" w:rsidRPr="00F107A0" w:rsidRDefault="0050191F" w:rsidP="00C82363">
            <w:pPr>
              <w:spacing w:before="120" w:line="240" w:lineRule="auto"/>
              <w:jc w:val="center"/>
            </w:pPr>
            <w:r w:rsidRPr="00F107A0">
              <w:t>8.1</w:t>
            </w:r>
          </w:p>
        </w:tc>
        <w:tc>
          <w:tcPr>
            <w:tcW w:w="2126" w:type="dxa"/>
            <w:tcBorders>
              <w:top w:val="nil"/>
              <w:bottom w:val="nil"/>
            </w:tcBorders>
            <w:shd w:val="clear" w:color="auto" w:fill="F2F2F2" w:themeFill="background1" w:themeFillShade="F2"/>
            <w:noWrap/>
            <w:vAlign w:val="center"/>
          </w:tcPr>
          <w:p w:rsidR="0050191F" w:rsidRPr="00F107A0" w:rsidRDefault="0050191F" w:rsidP="00C82363">
            <w:pPr>
              <w:spacing w:before="120" w:line="240" w:lineRule="auto"/>
              <w:jc w:val="center"/>
            </w:pPr>
            <w:r w:rsidRPr="00F107A0">
              <w:t>3.2</w:t>
            </w:r>
          </w:p>
        </w:tc>
      </w:tr>
      <w:tr w:rsidR="0050191F" w:rsidRPr="005F280D" w:rsidTr="007111C0">
        <w:trPr>
          <w:trHeight w:val="20"/>
        </w:trPr>
        <w:tc>
          <w:tcPr>
            <w:tcW w:w="2684" w:type="dxa"/>
            <w:tcBorders>
              <w:top w:val="nil"/>
              <w:bottom w:val="nil"/>
            </w:tcBorders>
            <w:shd w:val="clear" w:color="auto" w:fill="auto"/>
            <w:vAlign w:val="center"/>
          </w:tcPr>
          <w:p w:rsidR="0050191F" w:rsidRPr="005F2FFF" w:rsidRDefault="0050191F" w:rsidP="007111C0">
            <w:pPr>
              <w:spacing w:before="120" w:line="240" w:lineRule="auto"/>
            </w:pPr>
            <w:r>
              <w:t>Ashqelon</w:t>
            </w:r>
          </w:p>
        </w:tc>
        <w:tc>
          <w:tcPr>
            <w:tcW w:w="1590" w:type="dxa"/>
            <w:tcBorders>
              <w:top w:val="nil"/>
              <w:bottom w:val="nil"/>
            </w:tcBorders>
            <w:vAlign w:val="center"/>
          </w:tcPr>
          <w:p w:rsidR="0050191F" w:rsidRPr="00F107A0" w:rsidRDefault="0050191F" w:rsidP="00C82363">
            <w:pPr>
              <w:spacing w:before="120" w:line="240" w:lineRule="auto"/>
              <w:jc w:val="center"/>
            </w:pPr>
            <w:r w:rsidRPr="00F107A0">
              <w:t>144.1</w:t>
            </w:r>
          </w:p>
        </w:tc>
        <w:tc>
          <w:tcPr>
            <w:tcW w:w="1788" w:type="dxa"/>
            <w:tcBorders>
              <w:top w:val="nil"/>
              <w:bottom w:val="nil"/>
            </w:tcBorders>
            <w:shd w:val="clear" w:color="auto" w:fill="auto"/>
            <w:vAlign w:val="center"/>
          </w:tcPr>
          <w:p w:rsidR="0050191F" w:rsidRPr="00F107A0" w:rsidRDefault="0050191F" w:rsidP="00C82363">
            <w:pPr>
              <w:spacing w:before="120" w:line="240" w:lineRule="auto"/>
              <w:jc w:val="center"/>
            </w:pPr>
            <w:r w:rsidRPr="00F107A0">
              <w:t>7.7</w:t>
            </w:r>
          </w:p>
        </w:tc>
        <w:tc>
          <w:tcPr>
            <w:tcW w:w="2126" w:type="dxa"/>
            <w:tcBorders>
              <w:top w:val="nil"/>
              <w:bottom w:val="nil"/>
            </w:tcBorders>
            <w:shd w:val="clear" w:color="auto" w:fill="auto"/>
            <w:noWrap/>
            <w:vAlign w:val="center"/>
          </w:tcPr>
          <w:p w:rsidR="0050191F" w:rsidRPr="00F107A0" w:rsidRDefault="0050191F" w:rsidP="00C82363">
            <w:pPr>
              <w:spacing w:before="120" w:line="240" w:lineRule="auto"/>
              <w:jc w:val="center"/>
            </w:pPr>
            <w:r w:rsidRPr="00F107A0">
              <w:t>5.3</w:t>
            </w:r>
          </w:p>
        </w:tc>
      </w:tr>
      <w:tr w:rsidR="0050191F" w:rsidRPr="005F280D" w:rsidTr="007111C0">
        <w:trPr>
          <w:trHeight w:val="20"/>
        </w:trPr>
        <w:tc>
          <w:tcPr>
            <w:tcW w:w="2684" w:type="dxa"/>
            <w:tcBorders>
              <w:top w:val="nil"/>
              <w:bottom w:val="nil"/>
            </w:tcBorders>
            <w:shd w:val="clear" w:color="auto" w:fill="F2F2F2" w:themeFill="background1" w:themeFillShade="F2"/>
            <w:vAlign w:val="center"/>
          </w:tcPr>
          <w:p w:rsidR="0050191F" w:rsidRPr="005F2FFF" w:rsidRDefault="0050191F" w:rsidP="007111C0">
            <w:pPr>
              <w:spacing w:before="120" w:line="240" w:lineRule="auto"/>
              <w:rPr>
                <w:rtl/>
              </w:rPr>
            </w:pPr>
            <w:r w:rsidRPr="005F2FFF">
              <w:t>Rehovot</w:t>
            </w:r>
          </w:p>
        </w:tc>
        <w:tc>
          <w:tcPr>
            <w:tcW w:w="1590" w:type="dxa"/>
            <w:tcBorders>
              <w:top w:val="nil"/>
              <w:bottom w:val="nil"/>
            </w:tcBorders>
            <w:shd w:val="clear" w:color="auto" w:fill="F2F2F2" w:themeFill="background1" w:themeFillShade="F2"/>
            <w:vAlign w:val="center"/>
          </w:tcPr>
          <w:p w:rsidR="0050191F" w:rsidRPr="00F107A0" w:rsidRDefault="0050191F" w:rsidP="00C82363">
            <w:pPr>
              <w:spacing w:before="120" w:line="240" w:lineRule="auto"/>
              <w:jc w:val="center"/>
            </w:pPr>
            <w:r w:rsidRPr="00F107A0">
              <w:t>143.9</w:t>
            </w:r>
          </w:p>
        </w:tc>
        <w:tc>
          <w:tcPr>
            <w:tcW w:w="1788" w:type="dxa"/>
            <w:tcBorders>
              <w:top w:val="nil"/>
              <w:bottom w:val="nil"/>
            </w:tcBorders>
            <w:shd w:val="clear" w:color="auto" w:fill="F2F2F2" w:themeFill="background1" w:themeFillShade="F2"/>
            <w:vAlign w:val="center"/>
          </w:tcPr>
          <w:p w:rsidR="0050191F" w:rsidRPr="00F107A0" w:rsidRDefault="0050191F" w:rsidP="00C82363">
            <w:pPr>
              <w:spacing w:before="120" w:line="240" w:lineRule="auto"/>
              <w:jc w:val="center"/>
            </w:pPr>
            <w:r w:rsidRPr="00F107A0">
              <w:t>7.6</w:t>
            </w:r>
          </w:p>
        </w:tc>
        <w:tc>
          <w:tcPr>
            <w:tcW w:w="2126" w:type="dxa"/>
            <w:tcBorders>
              <w:top w:val="nil"/>
              <w:bottom w:val="nil"/>
            </w:tcBorders>
            <w:shd w:val="clear" w:color="auto" w:fill="F2F2F2" w:themeFill="background1" w:themeFillShade="F2"/>
            <w:noWrap/>
            <w:vAlign w:val="center"/>
          </w:tcPr>
          <w:p w:rsidR="0050191F" w:rsidRPr="00F107A0" w:rsidRDefault="0050191F" w:rsidP="00C82363">
            <w:pPr>
              <w:spacing w:before="120" w:line="240" w:lineRule="auto"/>
              <w:jc w:val="center"/>
            </w:pPr>
            <w:r w:rsidRPr="00F107A0">
              <w:t>5.3</w:t>
            </w:r>
          </w:p>
        </w:tc>
      </w:tr>
      <w:tr w:rsidR="0050191F" w:rsidRPr="005F280D" w:rsidTr="007111C0">
        <w:trPr>
          <w:trHeight w:val="20"/>
        </w:trPr>
        <w:tc>
          <w:tcPr>
            <w:tcW w:w="2684" w:type="dxa"/>
            <w:tcBorders>
              <w:top w:val="nil"/>
              <w:bottom w:val="nil"/>
            </w:tcBorders>
            <w:shd w:val="clear" w:color="auto" w:fill="auto"/>
            <w:vAlign w:val="center"/>
          </w:tcPr>
          <w:p w:rsidR="0050191F" w:rsidRPr="005F2FFF" w:rsidRDefault="0050191F" w:rsidP="007111C0">
            <w:pPr>
              <w:spacing w:before="120" w:line="240" w:lineRule="auto"/>
            </w:pPr>
            <w:r w:rsidRPr="005F2FFF">
              <w:t>Ash</w:t>
            </w:r>
            <w:r>
              <w:t>dod</w:t>
            </w:r>
          </w:p>
        </w:tc>
        <w:tc>
          <w:tcPr>
            <w:tcW w:w="1590" w:type="dxa"/>
            <w:tcBorders>
              <w:top w:val="nil"/>
              <w:bottom w:val="nil"/>
            </w:tcBorders>
            <w:vAlign w:val="center"/>
          </w:tcPr>
          <w:p w:rsidR="0050191F" w:rsidRPr="00F107A0" w:rsidRDefault="0050191F" w:rsidP="00C82363">
            <w:pPr>
              <w:spacing w:before="120" w:line="240" w:lineRule="auto"/>
              <w:jc w:val="center"/>
            </w:pPr>
            <w:r w:rsidRPr="00F107A0">
              <w:t>225.9</w:t>
            </w:r>
          </w:p>
        </w:tc>
        <w:tc>
          <w:tcPr>
            <w:tcW w:w="1788" w:type="dxa"/>
            <w:tcBorders>
              <w:top w:val="nil"/>
              <w:bottom w:val="nil"/>
            </w:tcBorders>
            <w:shd w:val="clear" w:color="auto" w:fill="auto"/>
            <w:vAlign w:val="center"/>
          </w:tcPr>
          <w:p w:rsidR="0050191F" w:rsidRPr="00F107A0" w:rsidRDefault="0050191F" w:rsidP="00C82363">
            <w:pPr>
              <w:spacing w:before="120" w:line="240" w:lineRule="auto"/>
              <w:jc w:val="center"/>
            </w:pPr>
            <w:r w:rsidRPr="00F107A0">
              <w:t>7.4</w:t>
            </w:r>
          </w:p>
        </w:tc>
        <w:tc>
          <w:tcPr>
            <w:tcW w:w="2126" w:type="dxa"/>
            <w:tcBorders>
              <w:top w:val="nil"/>
              <w:bottom w:val="nil"/>
            </w:tcBorders>
            <w:shd w:val="clear" w:color="auto" w:fill="auto"/>
            <w:noWrap/>
            <w:vAlign w:val="center"/>
          </w:tcPr>
          <w:p w:rsidR="0050191F" w:rsidRPr="00F107A0" w:rsidRDefault="0050191F" w:rsidP="00C82363">
            <w:pPr>
              <w:spacing w:before="120" w:line="240" w:lineRule="auto"/>
              <w:jc w:val="center"/>
            </w:pPr>
            <w:r w:rsidRPr="00F107A0">
              <w:t>3.3</w:t>
            </w:r>
          </w:p>
        </w:tc>
      </w:tr>
      <w:tr w:rsidR="0050191F" w:rsidRPr="005F280D" w:rsidTr="007111C0">
        <w:trPr>
          <w:trHeight w:val="20"/>
        </w:trPr>
        <w:tc>
          <w:tcPr>
            <w:tcW w:w="2684" w:type="dxa"/>
            <w:tcBorders>
              <w:top w:val="nil"/>
              <w:bottom w:val="nil"/>
            </w:tcBorders>
            <w:shd w:val="clear" w:color="auto" w:fill="F2F2F2" w:themeFill="background1" w:themeFillShade="F2"/>
            <w:vAlign w:val="center"/>
          </w:tcPr>
          <w:p w:rsidR="0050191F" w:rsidRPr="005F2FFF" w:rsidRDefault="0050191F" w:rsidP="007111C0">
            <w:pPr>
              <w:spacing w:before="120" w:line="240" w:lineRule="auto"/>
            </w:pPr>
            <w:r w:rsidRPr="005F2FFF">
              <w:t>Jerusalem</w:t>
            </w:r>
          </w:p>
        </w:tc>
        <w:tc>
          <w:tcPr>
            <w:tcW w:w="1590" w:type="dxa"/>
            <w:tcBorders>
              <w:top w:val="nil"/>
              <w:bottom w:val="nil"/>
            </w:tcBorders>
            <w:shd w:val="clear" w:color="auto" w:fill="F2F2F2" w:themeFill="background1" w:themeFillShade="F2"/>
            <w:vAlign w:val="center"/>
          </w:tcPr>
          <w:p w:rsidR="0050191F" w:rsidRPr="00F107A0" w:rsidRDefault="0050191F" w:rsidP="00C82363">
            <w:pPr>
              <w:spacing w:before="120" w:line="240" w:lineRule="auto"/>
              <w:jc w:val="center"/>
            </w:pPr>
            <w:r w:rsidRPr="00F107A0">
              <w:t>936.4</w:t>
            </w:r>
          </w:p>
        </w:tc>
        <w:tc>
          <w:tcPr>
            <w:tcW w:w="1788" w:type="dxa"/>
            <w:tcBorders>
              <w:top w:val="nil"/>
              <w:bottom w:val="nil"/>
            </w:tcBorders>
            <w:shd w:val="clear" w:color="auto" w:fill="F2F2F2" w:themeFill="background1" w:themeFillShade="F2"/>
            <w:vAlign w:val="center"/>
          </w:tcPr>
          <w:p w:rsidR="0050191F" w:rsidRPr="00F107A0" w:rsidRDefault="0050191F" w:rsidP="00C82363">
            <w:pPr>
              <w:spacing w:before="120" w:line="240" w:lineRule="auto"/>
              <w:jc w:val="center"/>
            </w:pPr>
            <w:r w:rsidRPr="00F107A0">
              <w:t>6.4</w:t>
            </w:r>
          </w:p>
        </w:tc>
        <w:tc>
          <w:tcPr>
            <w:tcW w:w="2126" w:type="dxa"/>
            <w:tcBorders>
              <w:top w:val="nil"/>
              <w:bottom w:val="nil"/>
            </w:tcBorders>
            <w:shd w:val="clear" w:color="auto" w:fill="F2F2F2" w:themeFill="background1" w:themeFillShade="F2"/>
            <w:noWrap/>
            <w:vAlign w:val="center"/>
          </w:tcPr>
          <w:p w:rsidR="0050191F" w:rsidRPr="00F107A0" w:rsidRDefault="0050191F" w:rsidP="00C82363">
            <w:pPr>
              <w:spacing w:before="120" w:line="240" w:lineRule="auto"/>
              <w:jc w:val="center"/>
            </w:pPr>
            <w:r w:rsidRPr="00F107A0">
              <w:t>0.7</w:t>
            </w:r>
          </w:p>
        </w:tc>
      </w:tr>
      <w:tr w:rsidR="0050191F" w:rsidRPr="005F280D" w:rsidTr="007111C0">
        <w:trPr>
          <w:trHeight w:val="20"/>
        </w:trPr>
        <w:tc>
          <w:tcPr>
            <w:tcW w:w="2684" w:type="dxa"/>
            <w:tcBorders>
              <w:top w:val="nil"/>
              <w:bottom w:val="nil"/>
            </w:tcBorders>
            <w:shd w:val="clear" w:color="auto" w:fill="auto"/>
            <w:vAlign w:val="center"/>
          </w:tcPr>
          <w:p w:rsidR="0050191F" w:rsidRPr="005F2FFF" w:rsidRDefault="0050191F" w:rsidP="007111C0">
            <w:pPr>
              <w:spacing w:before="120" w:line="240" w:lineRule="auto"/>
            </w:pPr>
            <w:r w:rsidRPr="005F2FFF">
              <w:t>Hadera</w:t>
            </w:r>
          </w:p>
        </w:tc>
        <w:tc>
          <w:tcPr>
            <w:tcW w:w="1590" w:type="dxa"/>
            <w:tcBorders>
              <w:top w:val="nil"/>
              <w:bottom w:val="nil"/>
            </w:tcBorders>
            <w:vAlign w:val="center"/>
          </w:tcPr>
          <w:p w:rsidR="0050191F" w:rsidRPr="00F107A0" w:rsidRDefault="0050191F" w:rsidP="00C82363">
            <w:pPr>
              <w:spacing w:before="120" w:line="240" w:lineRule="auto"/>
              <w:jc w:val="center"/>
            </w:pPr>
            <w:r w:rsidRPr="00F107A0">
              <w:t>97.3</w:t>
            </w:r>
          </w:p>
        </w:tc>
        <w:tc>
          <w:tcPr>
            <w:tcW w:w="1788" w:type="dxa"/>
            <w:tcBorders>
              <w:top w:val="nil"/>
              <w:bottom w:val="nil"/>
            </w:tcBorders>
            <w:shd w:val="clear" w:color="auto" w:fill="auto"/>
            <w:vAlign w:val="center"/>
          </w:tcPr>
          <w:p w:rsidR="0050191F" w:rsidRPr="00F107A0" w:rsidRDefault="0050191F" w:rsidP="00C82363">
            <w:pPr>
              <w:spacing w:before="120" w:line="240" w:lineRule="auto"/>
              <w:jc w:val="center"/>
            </w:pPr>
            <w:r w:rsidRPr="00F107A0">
              <w:t>5.9</w:t>
            </w:r>
          </w:p>
        </w:tc>
        <w:tc>
          <w:tcPr>
            <w:tcW w:w="2126" w:type="dxa"/>
            <w:tcBorders>
              <w:top w:val="nil"/>
              <w:bottom w:val="nil"/>
            </w:tcBorders>
            <w:shd w:val="clear" w:color="auto" w:fill="auto"/>
            <w:noWrap/>
            <w:vAlign w:val="center"/>
          </w:tcPr>
          <w:p w:rsidR="0050191F" w:rsidRPr="00F107A0" w:rsidRDefault="0050191F" w:rsidP="00C82363">
            <w:pPr>
              <w:spacing w:before="120" w:line="240" w:lineRule="auto"/>
              <w:jc w:val="center"/>
            </w:pPr>
            <w:r w:rsidRPr="00F107A0">
              <w:t>6.1</w:t>
            </w:r>
          </w:p>
        </w:tc>
      </w:tr>
      <w:tr w:rsidR="0050191F" w:rsidRPr="005F280D" w:rsidTr="007111C0">
        <w:trPr>
          <w:trHeight w:val="20"/>
        </w:trPr>
        <w:tc>
          <w:tcPr>
            <w:tcW w:w="2684" w:type="dxa"/>
            <w:tcBorders>
              <w:top w:val="nil"/>
              <w:bottom w:val="nil"/>
            </w:tcBorders>
            <w:shd w:val="clear" w:color="auto" w:fill="F2F2F2" w:themeFill="background1" w:themeFillShade="F2"/>
            <w:vAlign w:val="center"/>
          </w:tcPr>
          <w:p w:rsidR="0050191F" w:rsidRPr="005F2FFF" w:rsidRDefault="0050191F" w:rsidP="007111C0">
            <w:pPr>
              <w:spacing w:before="120" w:line="240" w:lineRule="auto"/>
            </w:pPr>
            <w:r w:rsidRPr="005F2FFF">
              <w:t>Qiryat Gat</w:t>
            </w:r>
          </w:p>
        </w:tc>
        <w:tc>
          <w:tcPr>
            <w:tcW w:w="1590" w:type="dxa"/>
            <w:tcBorders>
              <w:top w:val="nil"/>
              <w:bottom w:val="nil"/>
            </w:tcBorders>
            <w:shd w:val="clear" w:color="auto" w:fill="F2F2F2" w:themeFill="background1" w:themeFillShade="F2"/>
            <w:vAlign w:val="center"/>
          </w:tcPr>
          <w:p w:rsidR="0050191F" w:rsidRPr="00F107A0" w:rsidRDefault="0050191F" w:rsidP="00C82363">
            <w:pPr>
              <w:spacing w:before="120" w:line="240" w:lineRule="auto"/>
              <w:jc w:val="center"/>
            </w:pPr>
            <w:r w:rsidRPr="00F107A0">
              <w:t>57.1</w:t>
            </w:r>
          </w:p>
        </w:tc>
        <w:tc>
          <w:tcPr>
            <w:tcW w:w="1788" w:type="dxa"/>
            <w:tcBorders>
              <w:top w:val="nil"/>
              <w:bottom w:val="nil"/>
            </w:tcBorders>
            <w:shd w:val="clear" w:color="auto" w:fill="F2F2F2" w:themeFill="background1" w:themeFillShade="F2"/>
            <w:vAlign w:val="center"/>
          </w:tcPr>
          <w:p w:rsidR="0050191F" w:rsidRPr="00F107A0" w:rsidRDefault="0050191F" w:rsidP="00C82363">
            <w:pPr>
              <w:spacing w:before="120" w:line="240" w:lineRule="auto"/>
              <w:jc w:val="center"/>
            </w:pPr>
            <w:r w:rsidRPr="00F107A0">
              <w:t>5.8</w:t>
            </w:r>
          </w:p>
        </w:tc>
        <w:tc>
          <w:tcPr>
            <w:tcW w:w="2126" w:type="dxa"/>
            <w:tcBorders>
              <w:top w:val="nil"/>
              <w:bottom w:val="nil"/>
            </w:tcBorders>
            <w:shd w:val="clear" w:color="auto" w:fill="F2F2F2" w:themeFill="background1" w:themeFillShade="F2"/>
            <w:noWrap/>
            <w:vAlign w:val="center"/>
          </w:tcPr>
          <w:p w:rsidR="0050191F" w:rsidRPr="00F107A0" w:rsidRDefault="0050191F" w:rsidP="00C82363">
            <w:pPr>
              <w:spacing w:before="120" w:line="240" w:lineRule="auto"/>
              <w:jc w:val="center"/>
            </w:pPr>
            <w:r w:rsidRPr="00F107A0">
              <w:t>10.2</w:t>
            </w:r>
          </w:p>
        </w:tc>
      </w:tr>
      <w:tr w:rsidR="0050191F" w:rsidRPr="005F280D" w:rsidTr="007111C0">
        <w:trPr>
          <w:trHeight w:val="20"/>
        </w:trPr>
        <w:tc>
          <w:tcPr>
            <w:tcW w:w="2684" w:type="dxa"/>
            <w:tcBorders>
              <w:top w:val="nil"/>
              <w:bottom w:val="nil"/>
            </w:tcBorders>
            <w:shd w:val="clear" w:color="auto" w:fill="auto"/>
            <w:vAlign w:val="center"/>
          </w:tcPr>
          <w:p w:rsidR="0050191F" w:rsidRPr="005F2FFF" w:rsidRDefault="0050191F" w:rsidP="007111C0">
            <w:pPr>
              <w:spacing w:before="120" w:line="240" w:lineRule="auto"/>
            </w:pPr>
            <w:r w:rsidRPr="005F2FFF">
              <w:t>Haifa</w:t>
            </w:r>
          </w:p>
        </w:tc>
        <w:tc>
          <w:tcPr>
            <w:tcW w:w="1590" w:type="dxa"/>
            <w:tcBorders>
              <w:top w:val="nil"/>
              <w:bottom w:val="nil"/>
            </w:tcBorders>
            <w:vAlign w:val="center"/>
          </w:tcPr>
          <w:p w:rsidR="0050191F" w:rsidRPr="00F107A0" w:rsidRDefault="0050191F" w:rsidP="00C82363">
            <w:pPr>
              <w:spacing w:before="120" w:line="240" w:lineRule="auto"/>
              <w:jc w:val="center"/>
            </w:pPr>
            <w:r w:rsidRPr="00F107A0">
              <w:t>285.3</w:t>
            </w:r>
          </w:p>
        </w:tc>
        <w:tc>
          <w:tcPr>
            <w:tcW w:w="1788" w:type="dxa"/>
            <w:tcBorders>
              <w:top w:val="nil"/>
              <w:bottom w:val="nil"/>
            </w:tcBorders>
            <w:shd w:val="clear" w:color="auto" w:fill="auto"/>
            <w:vAlign w:val="center"/>
          </w:tcPr>
          <w:p w:rsidR="0050191F" w:rsidRPr="00F107A0" w:rsidRDefault="0050191F" w:rsidP="00C82363">
            <w:pPr>
              <w:spacing w:before="120" w:line="240" w:lineRule="auto"/>
              <w:jc w:val="center"/>
            </w:pPr>
            <w:r w:rsidRPr="00F107A0">
              <w:t>5.8</w:t>
            </w:r>
          </w:p>
        </w:tc>
        <w:tc>
          <w:tcPr>
            <w:tcW w:w="2126" w:type="dxa"/>
            <w:tcBorders>
              <w:top w:val="nil"/>
              <w:bottom w:val="nil"/>
            </w:tcBorders>
            <w:shd w:val="clear" w:color="auto" w:fill="auto"/>
            <w:noWrap/>
            <w:vAlign w:val="center"/>
          </w:tcPr>
          <w:p w:rsidR="0050191F" w:rsidRPr="00F107A0" w:rsidRDefault="0050191F" w:rsidP="00C82363">
            <w:pPr>
              <w:spacing w:before="120" w:line="240" w:lineRule="auto"/>
              <w:jc w:val="center"/>
            </w:pPr>
            <w:r w:rsidRPr="00F107A0">
              <w:t>2.0</w:t>
            </w:r>
          </w:p>
        </w:tc>
      </w:tr>
      <w:tr w:rsidR="0050191F" w:rsidRPr="005F280D" w:rsidTr="007111C0">
        <w:trPr>
          <w:trHeight w:val="20"/>
        </w:trPr>
        <w:tc>
          <w:tcPr>
            <w:tcW w:w="2684" w:type="dxa"/>
            <w:tcBorders>
              <w:top w:val="nil"/>
              <w:bottom w:val="nil"/>
            </w:tcBorders>
            <w:shd w:val="clear" w:color="auto" w:fill="F2F2F2" w:themeFill="background1" w:themeFillShade="F2"/>
            <w:vAlign w:val="center"/>
          </w:tcPr>
          <w:p w:rsidR="0050191F" w:rsidRPr="005F2FFF" w:rsidRDefault="0050191F" w:rsidP="007111C0">
            <w:pPr>
              <w:spacing w:before="120" w:line="240" w:lineRule="auto"/>
            </w:pPr>
            <w:r>
              <w:t>Bet Shemesh</w:t>
            </w:r>
          </w:p>
        </w:tc>
        <w:tc>
          <w:tcPr>
            <w:tcW w:w="1590" w:type="dxa"/>
            <w:tcBorders>
              <w:top w:val="nil"/>
              <w:bottom w:val="nil"/>
            </w:tcBorders>
            <w:shd w:val="clear" w:color="auto" w:fill="F2F2F2" w:themeFill="background1" w:themeFillShade="F2"/>
            <w:vAlign w:val="center"/>
          </w:tcPr>
          <w:p w:rsidR="0050191F" w:rsidRPr="00F107A0" w:rsidRDefault="0050191F" w:rsidP="00C82363">
            <w:pPr>
              <w:spacing w:before="120" w:line="240" w:lineRule="auto"/>
              <w:jc w:val="center"/>
              <w:rPr>
                <w:rtl/>
              </w:rPr>
            </w:pPr>
            <w:r w:rsidRPr="00F107A0">
              <w:t>125.0</w:t>
            </w:r>
          </w:p>
        </w:tc>
        <w:tc>
          <w:tcPr>
            <w:tcW w:w="1788" w:type="dxa"/>
            <w:tcBorders>
              <w:top w:val="nil"/>
              <w:bottom w:val="nil"/>
            </w:tcBorders>
            <w:shd w:val="clear" w:color="auto" w:fill="F2F2F2" w:themeFill="background1" w:themeFillShade="F2"/>
            <w:vAlign w:val="center"/>
          </w:tcPr>
          <w:p w:rsidR="0050191F" w:rsidRPr="00F107A0" w:rsidRDefault="0050191F" w:rsidP="00C82363">
            <w:pPr>
              <w:spacing w:before="120" w:line="240" w:lineRule="auto"/>
              <w:jc w:val="center"/>
            </w:pPr>
            <w:r w:rsidRPr="00F107A0">
              <w:t>4.3</w:t>
            </w:r>
          </w:p>
        </w:tc>
        <w:tc>
          <w:tcPr>
            <w:tcW w:w="2126" w:type="dxa"/>
            <w:tcBorders>
              <w:top w:val="nil"/>
              <w:bottom w:val="nil"/>
            </w:tcBorders>
            <w:shd w:val="clear" w:color="auto" w:fill="F2F2F2" w:themeFill="background1" w:themeFillShade="F2"/>
            <w:noWrap/>
            <w:vAlign w:val="center"/>
          </w:tcPr>
          <w:p w:rsidR="0050191F" w:rsidRPr="00F107A0" w:rsidRDefault="0050191F" w:rsidP="00C82363">
            <w:pPr>
              <w:spacing w:before="120" w:line="240" w:lineRule="auto"/>
              <w:jc w:val="center"/>
            </w:pPr>
            <w:r w:rsidRPr="00F107A0">
              <w:t>3.5</w:t>
            </w:r>
          </w:p>
        </w:tc>
      </w:tr>
      <w:tr w:rsidR="0050191F" w:rsidRPr="005F280D" w:rsidTr="007111C0">
        <w:trPr>
          <w:trHeight w:val="20"/>
        </w:trPr>
        <w:tc>
          <w:tcPr>
            <w:tcW w:w="2684" w:type="dxa"/>
            <w:tcBorders>
              <w:top w:val="nil"/>
              <w:bottom w:val="nil"/>
            </w:tcBorders>
            <w:shd w:val="clear" w:color="auto" w:fill="FFFFFF"/>
            <w:vAlign w:val="center"/>
          </w:tcPr>
          <w:p w:rsidR="0050191F" w:rsidRPr="005F2FFF" w:rsidRDefault="0050191F" w:rsidP="007111C0">
            <w:pPr>
              <w:spacing w:before="120" w:line="240" w:lineRule="auto"/>
            </w:pPr>
            <w:r w:rsidRPr="005F2FFF">
              <w:t>Raml</w:t>
            </w:r>
            <w:r>
              <w:t>a</w:t>
            </w:r>
          </w:p>
        </w:tc>
        <w:tc>
          <w:tcPr>
            <w:tcW w:w="1590" w:type="dxa"/>
            <w:tcBorders>
              <w:top w:val="nil"/>
              <w:bottom w:val="nil"/>
            </w:tcBorders>
            <w:shd w:val="clear" w:color="auto" w:fill="FFFFFF"/>
            <w:vAlign w:val="center"/>
          </w:tcPr>
          <w:p w:rsidR="0050191F" w:rsidRPr="00F107A0" w:rsidRDefault="0050191F" w:rsidP="00C82363">
            <w:pPr>
              <w:spacing w:before="120" w:line="240" w:lineRule="auto"/>
              <w:jc w:val="center"/>
            </w:pPr>
            <w:r w:rsidRPr="00F107A0">
              <w:t>76.2</w:t>
            </w:r>
          </w:p>
        </w:tc>
        <w:tc>
          <w:tcPr>
            <w:tcW w:w="1788" w:type="dxa"/>
            <w:tcBorders>
              <w:top w:val="nil"/>
              <w:bottom w:val="nil"/>
            </w:tcBorders>
            <w:shd w:val="clear" w:color="auto" w:fill="FFFFFF"/>
            <w:vAlign w:val="center"/>
          </w:tcPr>
          <w:p w:rsidR="0050191F" w:rsidRPr="00F107A0" w:rsidRDefault="0050191F" w:rsidP="00C82363">
            <w:pPr>
              <w:spacing w:before="120" w:line="240" w:lineRule="auto"/>
              <w:jc w:val="center"/>
            </w:pPr>
            <w:r w:rsidRPr="00F107A0">
              <w:t>4.2</w:t>
            </w:r>
          </w:p>
        </w:tc>
        <w:tc>
          <w:tcPr>
            <w:tcW w:w="2126" w:type="dxa"/>
            <w:tcBorders>
              <w:top w:val="nil"/>
              <w:bottom w:val="nil"/>
            </w:tcBorders>
            <w:shd w:val="clear" w:color="auto" w:fill="auto"/>
            <w:noWrap/>
            <w:vAlign w:val="center"/>
          </w:tcPr>
          <w:p w:rsidR="0050191F" w:rsidRPr="00F107A0" w:rsidRDefault="0050191F" w:rsidP="00C82363">
            <w:pPr>
              <w:spacing w:before="120" w:line="240" w:lineRule="auto"/>
              <w:jc w:val="center"/>
            </w:pPr>
            <w:r w:rsidRPr="00F107A0">
              <w:t>5.6</w:t>
            </w:r>
          </w:p>
        </w:tc>
      </w:tr>
      <w:tr w:rsidR="0050191F" w:rsidRPr="005F280D" w:rsidTr="007111C0">
        <w:trPr>
          <w:trHeight w:val="20"/>
        </w:trPr>
        <w:tc>
          <w:tcPr>
            <w:tcW w:w="2684" w:type="dxa"/>
            <w:tcBorders>
              <w:top w:val="nil"/>
              <w:bottom w:val="nil"/>
            </w:tcBorders>
            <w:shd w:val="clear" w:color="auto" w:fill="F2F2F2" w:themeFill="background1" w:themeFillShade="F2"/>
            <w:vAlign w:val="center"/>
          </w:tcPr>
          <w:p w:rsidR="0050191F" w:rsidRPr="005F2FFF" w:rsidRDefault="0050191F" w:rsidP="007111C0">
            <w:pPr>
              <w:spacing w:before="120" w:line="240" w:lineRule="auto"/>
            </w:pPr>
            <w:r w:rsidRPr="005F2FFF">
              <w:t>Lod</w:t>
            </w:r>
          </w:p>
        </w:tc>
        <w:tc>
          <w:tcPr>
            <w:tcW w:w="1590" w:type="dxa"/>
            <w:tcBorders>
              <w:top w:val="nil"/>
              <w:bottom w:val="nil"/>
            </w:tcBorders>
            <w:shd w:val="clear" w:color="auto" w:fill="F2F2F2" w:themeFill="background1" w:themeFillShade="F2"/>
            <w:vAlign w:val="center"/>
          </w:tcPr>
          <w:p w:rsidR="0050191F" w:rsidRPr="00F107A0" w:rsidRDefault="0050191F" w:rsidP="00C82363">
            <w:pPr>
              <w:spacing w:before="120" w:line="240" w:lineRule="auto"/>
              <w:jc w:val="center"/>
            </w:pPr>
            <w:r w:rsidRPr="00F107A0">
              <w:t>77.2</w:t>
            </w:r>
          </w:p>
        </w:tc>
        <w:tc>
          <w:tcPr>
            <w:tcW w:w="1788" w:type="dxa"/>
            <w:tcBorders>
              <w:top w:val="nil"/>
              <w:bottom w:val="nil"/>
            </w:tcBorders>
            <w:shd w:val="clear" w:color="auto" w:fill="F2F2F2" w:themeFill="background1" w:themeFillShade="F2"/>
            <w:vAlign w:val="center"/>
          </w:tcPr>
          <w:p w:rsidR="0050191F" w:rsidRPr="00F107A0" w:rsidRDefault="0050191F" w:rsidP="00C82363">
            <w:pPr>
              <w:spacing w:before="120" w:line="240" w:lineRule="auto"/>
              <w:jc w:val="center"/>
            </w:pPr>
            <w:r w:rsidRPr="00F107A0">
              <w:t>4.2</w:t>
            </w:r>
          </w:p>
        </w:tc>
        <w:tc>
          <w:tcPr>
            <w:tcW w:w="2126" w:type="dxa"/>
            <w:tcBorders>
              <w:top w:val="nil"/>
              <w:bottom w:val="nil"/>
            </w:tcBorders>
            <w:shd w:val="clear" w:color="auto" w:fill="F2F2F2" w:themeFill="background1" w:themeFillShade="F2"/>
            <w:noWrap/>
            <w:vAlign w:val="center"/>
          </w:tcPr>
          <w:p w:rsidR="0050191F" w:rsidRPr="00F107A0" w:rsidRDefault="0050191F" w:rsidP="00C82363">
            <w:pPr>
              <w:spacing w:before="120" w:line="240" w:lineRule="auto"/>
              <w:jc w:val="center"/>
            </w:pPr>
            <w:r w:rsidRPr="00F107A0">
              <w:t>5.4</w:t>
            </w:r>
          </w:p>
        </w:tc>
      </w:tr>
      <w:tr w:rsidR="0050191F" w:rsidRPr="005F280D" w:rsidTr="007111C0">
        <w:trPr>
          <w:trHeight w:val="20"/>
        </w:trPr>
        <w:tc>
          <w:tcPr>
            <w:tcW w:w="2684" w:type="dxa"/>
            <w:tcBorders>
              <w:top w:val="nil"/>
              <w:bottom w:val="nil"/>
            </w:tcBorders>
            <w:shd w:val="clear" w:color="auto" w:fill="FFFFFF"/>
            <w:vAlign w:val="center"/>
          </w:tcPr>
          <w:p w:rsidR="0050191F" w:rsidRPr="005F2FFF" w:rsidRDefault="0050191F" w:rsidP="007111C0">
            <w:pPr>
              <w:spacing w:before="120" w:line="240" w:lineRule="auto"/>
            </w:pPr>
            <w:r w:rsidRPr="005F2FFF">
              <w:t>Qiryat Mal’akhi</w:t>
            </w:r>
          </w:p>
        </w:tc>
        <w:tc>
          <w:tcPr>
            <w:tcW w:w="1590" w:type="dxa"/>
            <w:tcBorders>
              <w:top w:val="nil"/>
              <w:bottom w:val="nil"/>
            </w:tcBorders>
            <w:shd w:val="clear" w:color="auto" w:fill="FFFFFF"/>
            <w:vAlign w:val="center"/>
          </w:tcPr>
          <w:p w:rsidR="0050191F" w:rsidRPr="00F107A0" w:rsidRDefault="0050191F" w:rsidP="00C82363">
            <w:pPr>
              <w:spacing w:before="120" w:line="240" w:lineRule="auto"/>
              <w:jc w:val="center"/>
            </w:pPr>
            <w:r w:rsidRPr="00F107A0">
              <w:t>23.8</w:t>
            </w:r>
          </w:p>
        </w:tc>
        <w:tc>
          <w:tcPr>
            <w:tcW w:w="1788" w:type="dxa"/>
            <w:tcBorders>
              <w:top w:val="nil"/>
              <w:bottom w:val="nil"/>
            </w:tcBorders>
            <w:shd w:val="clear" w:color="auto" w:fill="FFFFFF"/>
            <w:vAlign w:val="center"/>
          </w:tcPr>
          <w:p w:rsidR="0050191F" w:rsidRPr="00F107A0" w:rsidRDefault="0050191F" w:rsidP="00C82363">
            <w:pPr>
              <w:spacing w:before="120" w:line="240" w:lineRule="auto"/>
              <w:jc w:val="center"/>
            </w:pPr>
            <w:r w:rsidRPr="00F107A0">
              <w:t>3.8</w:t>
            </w:r>
          </w:p>
        </w:tc>
        <w:tc>
          <w:tcPr>
            <w:tcW w:w="2126" w:type="dxa"/>
            <w:tcBorders>
              <w:top w:val="nil"/>
              <w:bottom w:val="nil"/>
            </w:tcBorders>
            <w:shd w:val="clear" w:color="auto" w:fill="auto"/>
            <w:noWrap/>
            <w:vAlign w:val="center"/>
          </w:tcPr>
          <w:p w:rsidR="0050191F" w:rsidRPr="00F107A0" w:rsidRDefault="0050191F" w:rsidP="00C82363">
            <w:pPr>
              <w:spacing w:before="120" w:line="240" w:lineRule="auto"/>
              <w:jc w:val="center"/>
            </w:pPr>
            <w:r w:rsidRPr="00F107A0">
              <w:t>16.0</w:t>
            </w:r>
          </w:p>
        </w:tc>
      </w:tr>
      <w:tr w:rsidR="0050191F" w:rsidRPr="005F280D" w:rsidTr="007111C0">
        <w:trPr>
          <w:trHeight w:val="20"/>
        </w:trPr>
        <w:tc>
          <w:tcPr>
            <w:tcW w:w="2684" w:type="dxa"/>
            <w:tcBorders>
              <w:top w:val="nil"/>
              <w:bottom w:val="nil"/>
            </w:tcBorders>
            <w:shd w:val="clear" w:color="auto" w:fill="F2F2F2" w:themeFill="background1" w:themeFillShade="F2"/>
            <w:vAlign w:val="center"/>
          </w:tcPr>
          <w:p w:rsidR="0050191F" w:rsidRPr="005F2FFF" w:rsidRDefault="0050191F" w:rsidP="007111C0">
            <w:pPr>
              <w:spacing w:before="120" w:line="240" w:lineRule="auto"/>
            </w:pPr>
            <w:r w:rsidRPr="005F2FFF">
              <w:t>Afula</w:t>
            </w:r>
          </w:p>
        </w:tc>
        <w:tc>
          <w:tcPr>
            <w:tcW w:w="1590" w:type="dxa"/>
            <w:tcBorders>
              <w:top w:val="nil"/>
              <w:bottom w:val="nil"/>
            </w:tcBorders>
            <w:shd w:val="clear" w:color="auto" w:fill="F2F2F2" w:themeFill="background1" w:themeFillShade="F2"/>
            <w:vAlign w:val="center"/>
          </w:tcPr>
          <w:p w:rsidR="0050191F" w:rsidRPr="00F107A0" w:rsidRDefault="0050191F" w:rsidP="00C82363">
            <w:pPr>
              <w:spacing w:before="120" w:line="240" w:lineRule="auto"/>
              <w:jc w:val="center"/>
            </w:pPr>
            <w:r w:rsidRPr="00F107A0">
              <w:t>54.2</w:t>
            </w:r>
          </w:p>
        </w:tc>
        <w:tc>
          <w:tcPr>
            <w:tcW w:w="1788" w:type="dxa"/>
            <w:tcBorders>
              <w:top w:val="nil"/>
              <w:bottom w:val="nil"/>
            </w:tcBorders>
            <w:shd w:val="clear" w:color="auto" w:fill="F2F2F2" w:themeFill="background1" w:themeFillShade="F2"/>
            <w:vAlign w:val="center"/>
          </w:tcPr>
          <w:p w:rsidR="0050191F" w:rsidRPr="00F107A0" w:rsidRDefault="0050191F" w:rsidP="00C82363">
            <w:pPr>
              <w:spacing w:before="120" w:line="240" w:lineRule="auto"/>
              <w:jc w:val="center"/>
            </w:pPr>
            <w:r w:rsidRPr="00F107A0">
              <w:t>3.8</w:t>
            </w:r>
          </w:p>
        </w:tc>
        <w:tc>
          <w:tcPr>
            <w:tcW w:w="2126" w:type="dxa"/>
            <w:tcBorders>
              <w:top w:val="nil"/>
              <w:bottom w:val="nil"/>
            </w:tcBorders>
            <w:shd w:val="clear" w:color="auto" w:fill="F2F2F2" w:themeFill="background1" w:themeFillShade="F2"/>
            <w:noWrap/>
            <w:vAlign w:val="center"/>
          </w:tcPr>
          <w:p w:rsidR="0050191F" w:rsidRPr="00F107A0" w:rsidRDefault="0050191F" w:rsidP="00C82363">
            <w:pPr>
              <w:spacing w:before="120" w:line="240" w:lineRule="auto"/>
              <w:jc w:val="center"/>
            </w:pPr>
            <w:r w:rsidRPr="00F107A0">
              <w:t>7.0</w:t>
            </w:r>
          </w:p>
        </w:tc>
      </w:tr>
      <w:tr w:rsidR="0050191F" w:rsidRPr="005F280D" w:rsidTr="007111C0">
        <w:trPr>
          <w:trHeight w:val="20"/>
        </w:trPr>
        <w:tc>
          <w:tcPr>
            <w:tcW w:w="2684" w:type="dxa"/>
            <w:tcBorders>
              <w:top w:val="nil"/>
              <w:bottom w:val="nil"/>
            </w:tcBorders>
            <w:shd w:val="clear" w:color="auto" w:fill="FFFFFF"/>
            <w:vAlign w:val="center"/>
          </w:tcPr>
          <w:p w:rsidR="0050191F" w:rsidRPr="005F2FFF" w:rsidRDefault="0050191F" w:rsidP="007111C0">
            <w:pPr>
              <w:spacing w:before="120" w:line="240" w:lineRule="auto"/>
              <w:rPr>
                <w:rtl/>
              </w:rPr>
            </w:pPr>
            <w:r w:rsidRPr="005F2FFF">
              <w:t>Yavne</w:t>
            </w:r>
          </w:p>
        </w:tc>
        <w:tc>
          <w:tcPr>
            <w:tcW w:w="1590" w:type="dxa"/>
            <w:tcBorders>
              <w:top w:val="nil"/>
              <w:bottom w:val="nil"/>
            </w:tcBorders>
            <w:shd w:val="clear" w:color="auto" w:fill="FFFFFF"/>
            <w:vAlign w:val="center"/>
          </w:tcPr>
          <w:p w:rsidR="0050191F" w:rsidRPr="00F107A0" w:rsidRDefault="0050191F" w:rsidP="00C82363">
            <w:pPr>
              <w:spacing w:before="120" w:line="240" w:lineRule="auto"/>
              <w:jc w:val="center"/>
            </w:pPr>
            <w:r w:rsidRPr="00F107A0">
              <w:t>47.6</w:t>
            </w:r>
          </w:p>
        </w:tc>
        <w:tc>
          <w:tcPr>
            <w:tcW w:w="1788" w:type="dxa"/>
            <w:tcBorders>
              <w:top w:val="nil"/>
              <w:bottom w:val="nil"/>
            </w:tcBorders>
            <w:shd w:val="clear" w:color="auto" w:fill="FFFFFF"/>
            <w:vAlign w:val="center"/>
          </w:tcPr>
          <w:p w:rsidR="0050191F" w:rsidRPr="00F107A0" w:rsidRDefault="0050191F" w:rsidP="00C82363">
            <w:pPr>
              <w:spacing w:before="120" w:line="240" w:lineRule="auto"/>
              <w:jc w:val="center"/>
            </w:pPr>
            <w:r w:rsidRPr="00F107A0">
              <w:t>3.4</w:t>
            </w:r>
          </w:p>
        </w:tc>
        <w:tc>
          <w:tcPr>
            <w:tcW w:w="2126" w:type="dxa"/>
            <w:tcBorders>
              <w:top w:val="nil"/>
              <w:bottom w:val="nil"/>
            </w:tcBorders>
            <w:shd w:val="clear" w:color="auto" w:fill="auto"/>
            <w:noWrap/>
            <w:vAlign w:val="center"/>
          </w:tcPr>
          <w:p w:rsidR="0050191F" w:rsidRPr="00F107A0" w:rsidRDefault="0050191F" w:rsidP="00C82363">
            <w:pPr>
              <w:spacing w:before="120" w:line="240" w:lineRule="auto"/>
              <w:jc w:val="center"/>
            </w:pPr>
            <w:r w:rsidRPr="00F107A0">
              <w:t>7.2</w:t>
            </w:r>
          </w:p>
        </w:tc>
      </w:tr>
      <w:tr w:rsidR="0050191F" w:rsidRPr="005F280D" w:rsidTr="007111C0">
        <w:trPr>
          <w:trHeight w:val="20"/>
        </w:trPr>
        <w:tc>
          <w:tcPr>
            <w:tcW w:w="2684" w:type="dxa"/>
            <w:tcBorders>
              <w:top w:val="nil"/>
              <w:bottom w:val="nil"/>
            </w:tcBorders>
            <w:shd w:val="clear" w:color="auto" w:fill="F2F2F2" w:themeFill="background1" w:themeFillShade="F2"/>
            <w:vAlign w:val="center"/>
          </w:tcPr>
          <w:p w:rsidR="0050191F" w:rsidRPr="005F2FFF" w:rsidRDefault="0050191F" w:rsidP="007111C0">
            <w:pPr>
              <w:spacing w:before="120" w:line="240" w:lineRule="auto"/>
              <w:rPr>
                <w:rtl/>
              </w:rPr>
            </w:pPr>
            <w:r w:rsidRPr="005F2FFF">
              <w:t>Tel Aviv-Yafo</w:t>
            </w:r>
          </w:p>
        </w:tc>
        <w:tc>
          <w:tcPr>
            <w:tcW w:w="1590" w:type="dxa"/>
            <w:tcBorders>
              <w:top w:val="nil"/>
              <w:bottom w:val="nil"/>
            </w:tcBorders>
            <w:shd w:val="clear" w:color="auto" w:fill="F2F2F2" w:themeFill="background1" w:themeFillShade="F2"/>
            <w:vAlign w:val="center"/>
          </w:tcPr>
          <w:p w:rsidR="0050191F" w:rsidRPr="00F107A0" w:rsidRDefault="0050191F" w:rsidP="00C82363">
            <w:pPr>
              <w:spacing w:before="120" w:line="240" w:lineRule="auto"/>
              <w:jc w:val="center"/>
            </w:pPr>
            <w:r w:rsidRPr="00F107A0">
              <w:t>460.6</w:t>
            </w:r>
          </w:p>
        </w:tc>
        <w:tc>
          <w:tcPr>
            <w:tcW w:w="1788" w:type="dxa"/>
            <w:tcBorders>
              <w:top w:val="nil"/>
              <w:bottom w:val="nil"/>
            </w:tcBorders>
            <w:shd w:val="clear" w:color="auto" w:fill="F2F2F2" w:themeFill="background1" w:themeFillShade="F2"/>
            <w:vAlign w:val="center"/>
          </w:tcPr>
          <w:p w:rsidR="0050191F" w:rsidRPr="00F107A0" w:rsidRDefault="0050191F" w:rsidP="00C82363">
            <w:pPr>
              <w:spacing w:before="120" w:line="240" w:lineRule="auto"/>
              <w:jc w:val="center"/>
            </w:pPr>
            <w:r w:rsidRPr="00F107A0">
              <w:t>2.7</w:t>
            </w:r>
          </w:p>
        </w:tc>
        <w:tc>
          <w:tcPr>
            <w:tcW w:w="2126" w:type="dxa"/>
            <w:tcBorders>
              <w:top w:val="nil"/>
              <w:bottom w:val="nil"/>
            </w:tcBorders>
            <w:shd w:val="clear" w:color="auto" w:fill="F2F2F2" w:themeFill="background1" w:themeFillShade="F2"/>
            <w:noWrap/>
            <w:vAlign w:val="center"/>
          </w:tcPr>
          <w:p w:rsidR="0050191F" w:rsidRPr="00F107A0" w:rsidRDefault="0050191F" w:rsidP="00C82363">
            <w:pPr>
              <w:spacing w:before="120" w:line="240" w:lineRule="auto"/>
              <w:jc w:val="center"/>
            </w:pPr>
            <w:r w:rsidRPr="00F107A0">
              <w:t>0.6</w:t>
            </w:r>
          </w:p>
        </w:tc>
      </w:tr>
      <w:tr w:rsidR="0050191F" w:rsidRPr="005F280D" w:rsidTr="007111C0">
        <w:trPr>
          <w:trHeight w:val="20"/>
        </w:trPr>
        <w:tc>
          <w:tcPr>
            <w:tcW w:w="2684" w:type="dxa"/>
            <w:tcBorders>
              <w:top w:val="nil"/>
              <w:bottom w:val="nil"/>
            </w:tcBorders>
            <w:shd w:val="clear" w:color="auto" w:fill="FFFFFF"/>
            <w:vAlign w:val="center"/>
          </w:tcPr>
          <w:p w:rsidR="0050191F" w:rsidRPr="005F2FFF" w:rsidRDefault="0050191F" w:rsidP="007111C0">
            <w:pPr>
              <w:spacing w:before="120" w:line="240" w:lineRule="auto"/>
            </w:pPr>
            <w:r w:rsidRPr="005F2FFF">
              <w:t>Bat Yam</w:t>
            </w:r>
          </w:p>
        </w:tc>
        <w:tc>
          <w:tcPr>
            <w:tcW w:w="1590" w:type="dxa"/>
            <w:tcBorders>
              <w:top w:val="nil"/>
              <w:bottom w:val="nil"/>
            </w:tcBorders>
            <w:shd w:val="clear" w:color="auto" w:fill="FFFFFF"/>
            <w:vAlign w:val="center"/>
          </w:tcPr>
          <w:p w:rsidR="0050191F" w:rsidRPr="00F107A0" w:rsidRDefault="0050191F" w:rsidP="00C82363">
            <w:pPr>
              <w:spacing w:before="120" w:line="240" w:lineRule="auto"/>
              <w:jc w:val="center"/>
            </w:pPr>
            <w:r w:rsidRPr="00F107A0">
              <w:t>129.0</w:t>
            </w:r>
          </w:p>
        </w:tc>
        <w:tc>
          <w:tcPr>
            <w:tcW w:w="1788" w:type="dxa"/>
            <w:tcBorders>
              <w:top w:val="nil"/>
              <w:bottom w:val="nil"/>
            </w:tcBorders>
            <w:shd w:val="clear" w:color="auto" w:fill="FFFFFF"/>
            <w:vAlign w:val="center"/>
          </w:tcPr>
          <w:p w:rsidR="0050191F" w:rsidRPr="00F107A0" w:rsidRDefault="0050191F" w:rsidP="00C82363">
            <w:pPr>
              <w:spacing w:before="120" w:line="240" w:lineRule="auto"/>
              <w:jc w:val="center"/>
            </w:pPr>
            <w:r w:rsidRPr="00F107A0">
              <w:t>2.6</w:t>
            </w:r>
          </w:p>
        </w:tc>
        <w:tc>
          <w:tcPr>
            <w:tcW w:w="2126" w:type="dxa"/>
            <w:tcBorders>
              <w:top w:val="nil"/>
              <w:bottom w:val="nil"/>
            </w:tcBorders>
            <w:shd w:val="clear" w:color="auto" w:fill="auto"/>
            <w:noWrap/>
            <w:vAlign w:val="center"/>
          </w:tcPr>
          <w:p w:rsidR="0050191F" w:rsidRPr="00F107A0" w:rsidRDefault="0050191F" w:rsidP="00C82363">
            <w:pPr>
              <w:spacing w:before="120" w:line="240" w:lineRule="auto"/>
              <w:jc w:val="center"/>
            </w:pPr>
            <w:r w:rsidRPr="00F107A0">
              <w:t>2.0</w:t>
            </w:r>
          </w:p>
        </w:tc>
      </w:tr>
      <w:tr w:rsidR="0050191F" w:rsidRPr="005F280D" w:rsidTr="007111C0">
        <w:trPr>
          <w:trHeight w:val="20"/>
        </w:trPr>
        <w:tc>
          <w:tcPr>
            <w:tcW w:w="2684" w:type="dxa"/>
            <w:tcBorders>
              <w:top w:val="nil"/>
            </w:tcBorders>
            <w:shd w:val="clear" w:color="auto" w:fill="F2F2F2" w:themeFill="background1" w:themeFillShade="F2"/>
            <w:vAlign w:val="center"/>
          </w:tcPr>
          <w:p w:rsidR="0050191F" w:rsidRPr="005F2FFF" w:rsidRDefault="0050191F" w:rsidP="007111C0">
            <w:pPr>
              <w:spacing w:before="120" w:line="240" w:lineRule="auto"/>
            </w:pPr>
            <w:r w:rsidRPr="005F2FFF">
              <w:t>Holon</w:t>
            </w:r>
          </w:p>
        </w:tc>
        <w:tc>
          <w:tcPr>
            <w:tcW w:w="1590" w:type="dxa"/>
            <w:tcBorders>
              <w:top w:val="nil"/>
            </w:tcBorders>
            <w:shd w:val="clear" w:color="auto" w:fill="F2F2F2" w:themeFill="background1" w:themeFillShade="F2"/>
            <w:vAlign w:val="center"/>
          </w:tcPr>
          <w:p w:rsidR="0050191F" w:rsidRPr="00F107A0" w:rsidRDefault="0050191F" w:rsidP="00C82363">
            <w:pPr>
              <w:spacing w:before="120" w:line="240" w:lineRule="auto"/>
              <w:jc w:val="center"/>
            </w:pPr>
            <w:r w:rsidRPr="00F107A0">
              <w:t>196.3</w:t>
            </w:r>
          </w:p>
        </w:tc>
        <w:tc>
          <w:tcPr>
            <w:tcW w:w="1788" w:type="dxa"/>
            <w:tcBorders>
              <w:top w:val="nil"/>
            </w:tcBorders>
            <w:shd w:val="clear" w:color="auto" w:fill="F2F2F2" w:themeFill="background1" w:themeFillShade="F2"/>
            <w:vAlign w:val="center"/>
          </w:tcPr>
          <w:p w:rsidR="0050191F" w:rsidRPr="00F107A0" w:rsidRDefault="0050191F" w:rsidP="00C82363">
            <w:pPr>
              <w:spacing w:before="120" w:line="240" w:lineRule="auto"/>
              <w:jc w:val="center"/>
            </w:pPr>
            <w:r w:rsidRPr="00F107A0">
              <w:t>2.4</w:t>
            </w:r>
          </w:p>
        </w:tc>
        <w:tc>
          <w:tcPr>
            <w:tcW w:w="2126" w:type="dxa"/>
            <w:tcBorders>
              <w:top w:val="nil"/>
            </w:tcBorders>
            <w:shd w:val="clear" w:color="auto" w:fill="F2F2F2" w:themeFill="background1" w:themeFillShade="F2"/>
            <w:noWrap/>
            <w:vAlign w:val="center"/>
          </w:tcPr>
          <w:p w:rsidR="0050191F" w:rsidRPr="00F107A0" w:rsidRDefault="0050191F" w:rsidP="00C82363">
            <w:pPr>
              <w:spacing w:before="120" w:line="240" w:lineRule="auto"/>
              <w:jc w:val="center"/>
            </w:pPr>
            <w:r w:rsidRPr="00F107A0">
              <w:t>1.2</w:t>
            </w:r>
          </w:p>
        </w:tc>
      </w:tr>
    </w:tbl>
    <w:p w:rsidR="005F280D" w:rsidRPr="00EF737D" w:rsidRDefault="00195816" w:rsidP="00975F45">
      <w:pPr>
        <w:pStyle w:val="ListParagraph"/>
        <w:numPr>
          <w:ilvl w:val="0"/>
          <w:numId w:val="26"/>
        </w:numPr>
      </w:pPr>
      <w:r w:rsidRPr="00EF737D">
        <w:t>Localities with 2,000 or more</w:t>
      </w:r>
      <w:r w:rsidR="0043714C" w:rsidRPr="00EF737D">
        <w:t xml:space="preserve"> </w:t>
      </w:r>
      <w:r w:rsidR="00B8489F" w:rsidRPr="00EF737D">
        <w:t xml:space="preserve">residents </w:t>
      </w:r>
      <w:r w:rsidR="0043714C" w:rsidRPr="00EF737D">
        <w:t>of Ethiopian origin</w:t>
      </w:r>
    </w:p>
    <w:p w:rsidR="005B5B6A" w:rsidRPr="007500C3" w:rsidRDefault="00022762" w:rsidP="005455A5">
      <w:r w:rsidRPr="007500C3">
        <w:t xml:space="preserve">In some of the localities, the communities consisting of </w:t>
      </w:r>
      <w:r w:rsidR="00E85F8B" w:rsidRPr="007500C3">
        <w:t>residents</w:t>
      </w:r>
      <w:r w:rsidRPr="007500C3">
        <w:t xml:space="preserve"> of Ethiopian origin are concentrated in specific neighbourhoods. Thus, for example, approximately 3,</w:t>
      </w:r>
      <w:r w:rsidR="00C04F6E">
        <w:t>1</w:t>
      </w:r>
      <w:r w:rsidRPr="007500C3">
        <w:t xml:space="preserve">00 persons of Ethiopian origin reside in the Qiryat Moshe (North) neighbourhood of the city of Rehovot, comprising </w:t>
      </w:r>
      <w:r w:rsidR="00A016C6">
        <w:t xml:space="preserve">over </w:t>
      </w:r>
      <w:r w:rsidRPr="007500C3">
        <w:t xml:space="preserve">56% of the </w:t>
      </w:r>
      <w:r w:rsidR="00A016C6">
        <w:t>t</w:t>
      </w:r>
      <w:r w:rsidRPr="007500C3">
        <w:t>otal number of residents</w:t>
      </w:r>
      <w:r w:rsidR="00A016C6">
        <w:t xml:space="preserve"> in the neig</w:t>
      </w:r>
      <w:r w:rsidR="00795761">
        <w:t>hborhood.</w:t>
      </w:r>
      <w:r w:rsidR="00C04F6E">
        <w:rPr>
          <w:rStyle w:val="FootnoteReference"/>
        </w:rPr>
        <w:footnoteReference w:id="5"/>
      </w:r>
      <w:r w:rsidRPr="007500C3">
        <w:t xml:space="preserve"> In the Ramat Eliyahu (North) neighbourhood of Rishon LeZiyyon, there are 2,</w:t>
      </w:r>
      <w:r w:rsidR="00C04F6E">
        <w:rPr>
          <w:rFonts w:hint="cs"/>
          <w:rtl/>
        </w:rPr>
        <w:t>7</w:t>
      </w:r>
      <w:r w:rsidRPr="007500C3">
        <w:t>00 residents of Ethiopian origin, comprising 52% of the total number of residents</w:t>
      </w:r>
      <w:r w:rsidR="00CB0A01">
        <w:t xml:space="preserve"> in the neighborhood.</w:t>
      </w:r>
    </w:p>
    <w:p w:rsidR="004C4AF4" w:rsidRPr="007B6CF9" w:rsidRDefault="006A284B" w:rsidP="007B6CF9">
      <w:pPr>
        <w:jc w:val="center"/>
        <w:rPr>
          <w:b/>
          <w:bCs/>
          <w:rtl/>
        </w:rPr>
      </w:pPr>
      <w:r w:rsidRPr="007B6CF9">
        <w:rPr>
          <w:b/>
          <w:bCs/>
        </w:rPr>
        <w:t>Table B</w:t>
      </w:r>
      <w:r w:rsidR="00E754C3" w:rsidRPr="007B6CF9">
        <w:rPr>
          <w:b/>
          <w:bCs/>
        </w:rPr>
        <w:t xml:space="preserve"> -</w:t>
      </w:r>
      <w:r w:rsidR="004C4AF4" w:rsidRPr="007B6CF9">
        <w:rPr>
          <w:b/>
          <w:bCs/>
        </w:rPr>
        <w:t xml:space="preserve"> Neighbourhoods With One-Third or More</w:t>
      </w:r>
      <w:r w:rsidR="004C4AF4" w:rsidRPr="007B6CF9">
        <w:rPr>
          <w:b/>
          <w:bCs/>
        </w:rPr>
        <w:br/>
        <w:t>Residents of Ethiopian Origin, End of 201</w:t>
      </w:r>
      <w:r w:rsidR="00C04F6E" w:rsidRPr="007B6CF9">
        <w:rPr>
          <w:rFonts w:hint="cs"/>
          <w:b/>
          <w:bCs/>
          <w:rtl/>
        </w:rPr>
        <w:t>9</w:t>
      </w:r>
      <w:r w:rsidR="004C4AF4" w:rsidRPr="007B6CF9">
        <w:rPr>
          <w:b/>
          <w:bCs/>
        </w:rPr>
        <w:t xml:space="preserve"> (1)</w:t>
      </w:r>
    </w:p>
    <w:tbl>
      <w:tblPr>
        <w:tblW w:w="973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Caption w:val="Table B - Neighbourhoods With One-Third or More"/>
        <w:tblDescription w:val="Table B - Neighbourhoods With One-Third or More&#10;Residents of Ethiopian Origin, End of 2019 (1)&#10;"/>
      </w:tblPr>
      <w:tblGrid>
        <w:gridCol w:w="3488"/>
        <w:gridCol w:w="1976"/>
        <w:gridCol w:w="1976"/>
        <w:gridCol w:w="2292"/>
      </w:tblGrid>
      <w:tr w:rsidR="00BF6AB6" w:rsidRPr="004C4AF4" w:rsidTr="002B0B25">
        <w:trPr>
          <w:trHeight w:val="20"/>
          <w:tblHeader/>
          <w:jc w:val="center"/>
        </w:trPr>
        <w:tc>
          <w:tcPr>
            <w:tcW w:w="3488" w:type="dxa"/>
            <w:tcBorders>
              <w:left w:val="nil"/>
              <w:bottom w:val="single" w:sz="6" w:space="0" w:color="auto"/>
            </w:tcBorders>
            <w:shd w:val="clear" w:color="auto" w:fill="D9D9D9" w:themeFill="background1" w:themeFillShade="D9"/>
            <w:vAlign w:val="center"/>
          </w:tcPr>
          <w:p w:rsidR="00BF6AB6" w:rsidRPr="002B0B25" w:rsidRDefault="00BF6AB6" w:rsidP="00975F45">
            <w:pPr>
              <w:rPr>
                <w:b/>
                <w:bCs/>
              </w:rPr>
            </w:pPr>
            <w:r w:rsidRPr="002B0B25">
              <w:rPr>
                <w:b/>
                <w:bCs/>
              </w:rPr>
              <w:t>Name of locality and neighbourhood</w:t>
            </w:r>
          </w:p>
        </w:tc>
        <w:tc>
          <w:tcPr>
            <w:tcW w:w="1976" w:type="dxa"/>
            <w:tcBorders>
              <w:bottom w:val="single" w:sz="6" w:space="0" w:color="auto"/>
            </w:tcBorders>
            <w:shd w:val="clear" w:color="auto" w:fill="D9D9D9" w:themeFill="background1" w:themeFillShade="D9"/>
            <w:vAlign w:val="center"/>
          </w:tcPr>
          <w:p w:rsidR="00BF6AB6" w:rsidRPr="002B0B25" w:rsidRDefault="00BF6AB6" w:rsidP="00975F45">
            <w:pPr>
              <w:rPr>
                <w:b/>
                <w:bCs/>
              </w:rPr>
            </w:pPr>
            <w:r w:rsidRPr="002B0B25">
              <w:rPr>
                <w:b/>
                <w:bCs/>
              </w:rPr>
              <w:t>Total population of neighbourhood (thousands)</w:t>
            </w:r>
          </w:p>
        </w:tc>
        <w:tc>
          <w:tcPr>
            <w:tcW w:w="1976" w:type="dxa"/>
            <w:tcBorders>
              <w:bottom w:val="single" w:sz="6" w:space="0" w:color="auto"/>
            </w:tcBorders>
            <w:shd w:val="clear" w:color="auto" w:fill="D9D9D9" w:themeFill="background1" w:themeFillShade="D9"/>
            <w:vAlign w:val="center"/>
          </w:tcPr>
          <w:p w:rsidR="00BF6AB6" w:rsidRPr="002B0B25" w:rsidRDefault="00BF6AB6" w:rsidP="00975F45">
            <w:pPr>
              <w:rPr>
                <w:b/>
                <w:bCs/>
              </w:rPr>
            </w:pPr>
            <w:r w:rsidRPr="002B0B25">
              <w:rPr>
                <w:b/>
                <w:bCs/>
              </w:rPr>
              <w:t>Total population of Ethiopian origin in neighbourhood (thousands)</w:t>
            </w:r>
          </w:p>
        </w:tc>
        <w:tc>
          <w:tcPr>
            <w:tcW w:w="2292" w:type="dxa"/>
            <w:tcBorders>
              <w:bottom w:val="single" w:sz="6" w:space="0" w:color="auto"/>
              <w:right w:val="nil"/>
            </w:tcBorders>
            <w:shd w:val="clear" w:color="auto" w:fill="D9D9D9" w:themeFill="background1" w:themeFillShade="D9"/>
            <w:vAlign w:val="center"/>
          </w:tcPr>
          <w:p w:rsidR="00BF6AB6" w:rsidRPr="002B0B25" w:rsidRDefault="00BF6AB6" w:rsidP="00975F45">
            <w:pPr>
              <w:rPr>
                <w:b/>
                <w:bCs/>
              </w:rPr>
            </w:pPr>
            <w:r w:rsidRPr="002B0B25">
              <w:rPr>
                <w:b/>
                <w:bCs/>
              </w:rPr>
              <w:t>Percentage population of Ethiopian origin out of total neighbourhood population</w:t>
            </w:r>
          </w:p>
        </w:tc>
      </w:tr>
      <w:tr w:rsidR="00C04F6E" w:rsidRPr="00CC1AA5" w:rsidTr="002B0B25">
        <w:trPr>
          <w:trHeight w:val="20"/>
          <w:jc w:val="center"/>
        </w:trPr>
        <w:tc>
          <w:tcPr>
            <w:tcW w:w="3488" w:type="dxa"/>
            <w:tcBorders>
              <w:left w:val="nil"/>
              <w:bottom w:val="nil"/>
            </w:tcBorders>
            <w:vAlign w:val="center"/>
          </w:tcPr>
          <w:p w:rsidR="00C04F6E" w:rsidRPr="00121198" w:rsidRDefault="00C04F6E" w:rsidP="002B0B25">
            <w:pPr>
              <w:spacing w:before="120" w:line="240" w:lineRule="auto"/>
              <w:rPr>
                <w:rtl/>
              </w:rPr>
            </w:pPr>
            <w:r w:rsidRPr="00121198">
              <w:t>Qiryat Gat</w:t>
            </w:r>
          </w:p>
          <w:p w:rsidR="00C04F6E" w:rsidRPr="00121198" w:rsidRDefault="006A60C9" w:rsidP="002B0B25">
            <w:pPr>
              <w:spacing w:before="120" w:line="240" w:lineRule="auto"/>
            </w:pPr>
            <w:r w:rsidRPr="00121198">
              <w:t>Paz</w:t>
            </w:r>
          </w:p>
        </w:tc>
        <w:tc>
          <w:tcPr>
            <w:tcW w:w="1976" w:type="dxa"/>
            <w:tcBorders>
              <w:bottom w:val="nil"/>
            </w:tcBorders>
            <w:vAlign w:val="bottom"/>
          </w:tcPr>
          <w:p w:rsidR="00C04F6E" w:rsidRPr="00C04F6E" w:rsidRDefault="00C04F6E" w:rsidP="00C82363">
            <w:pPr>
              <w:spacing w:before="120" w:line="240" w:lineRule="auto"/>
              <w:jc w:val="center"/>
            </w:pPr>
            <w:r w:rsidRPr="00C04F6E">
              <w:t>0.5</w:t>
            </w:r>
          </w:p>
        </w:tc>
        <w:tc>
          <w:tcPr>
            <w:tcW w:w="1976" w:type="dxa"/>
            <w:tcBorders>
              <w:bottom w:val="nil"/>
            </w:tcBorders>
            <w:vAlign w:val="bottom"/>
          </w:tcPr>
          <w:p w:rsidR="00C04F6E" w:rsidRPr="00C04F6E" w:rsidRDefault="00C04F6E" w:rsidP="00C82363">
            <w:pPr>
              <w:spacing w:before="120" w:line="240" w:lineRule="auto"/>
              <w:jc w:val="center"/>
            </w:pPr>
            <w:r w:rsidRPr="00C04F6E">
              <w:t>0.3</w:t>
            </w:r>
          </w:p>
        </w:tc>
        <w:tc>
          <w:tcPr>
            <w:tcW w:w="2292" w:type="dxa"/>
            <w:tcBorders>
              <w:bottom w:val="nil"/>
              <w:right w:val="nil"/>
            </w:tcBorders>
            <w:vAlign w:val="bottom"/>
          </w:tcPr>
          <w:p w:rsidR="00C04F6E" w:rsidRPr="00121198" w:rsidRDefault="00C04F6E" w:rsidP="00C82363">
            <w:pPr>
              <w:spacing w:before="120" w:line="240" w:lineRule="auto"/>
              <w:jc w:val="center"/>
            </w:pPr>
            <w:r w:rsidRPr="00121198">
              <w:t>56.5</w:t>
            </w:r>
          </w:p>
        </w:tc>
      </w:tr>
      <w:tr w:rsidR="00C04F6E" w:rsidRPr="004C4AF4" w:rsidTr="002B0B25">
        <w:trPr>
          <w:trHeight w:val="20"/>
          <w:jc w:val="center"/>
        </w:trPr>
        <w:tc>
          <w:tcPr>
            <w:tcW w:w="3488" w:type="dxa"/>
            <w:tcBorders>
              <w:top w:val="nil"/>
              <w:left w:val="nil"/>
              <w:bottom w:val="nil"/>
            </w:tcBorders>
            <w:shd w:val="clear" w:color="auto" w:fill="F2F2F2" w:themeFill="background1" w:themeFillShade="F2"/>
            <w:vAlign w:val="center"/>
          </w:tcPr>
          <w:p w:rsidR="00C04F6E" w:rsidRPr="00121198" w:rsidRDefault="00C04F6E" w:rsidP="002B0B25">
            <w:pPr>
              <w:spacing w:before="120" w:line="240" w:lineRule="auto"/>
              <w:rPr>
                <w:rtl/>
              </w:rPr>
            </w:pPr>
            <w:r w:rsidRPr="00121198">
              <w:t>Rehovot</w:t>
            </w:r>
          </w:p>
          <w:p w:rsidR="00C04F6E" w:rsidRPr="00121198" w:rsidRDefault="00C04F6E" w:rsidP="002B0B25">
            <w:pPr>
              <w:spacing w:before="120" w:line="240" w:lineRule="auto"/>
            </w:pPr>
            <w:r w:rsidRPr="00121198">
              <w:t>Qiryat Moshe (North)</w:t>
            </w:r>
          </w:p>
        </w:tc>
        <w:tc>
          <w:tcPr>
            <w:tcW w:w="1976" w:type="dxa"/>
            <w:tcBorders>
              <w:top w:val="nil"/>
              <w:bottom w:val="nil"/>
            </w:tcBorders>
            <w:shd w:val="clear" w:color="auto" w:fill="F2F2F2" w:themeFill="background1" w:themeFillShade="F2"/>
            <w:vAlign w:val="bottom"/>
          </w:tcPr>
          <w:p w:rsidR="00C04F6E" w:rsidRPr="00C04F6E" w:rsidRDefault="00C04F6E" w:rsidP="00C82363">
            <w:pPr>
              <w:spacing w:before="120" w:line="240" w:lineRule="auto"/>
              <w:jc w:val="center"/>
            </w:pPr>
            <w:r w:rsidRPr="00C04F6E">
              <w:t>5.4</w:t>
            </w:r>
          </w:p>
        </w:tc>
        <w:tc>
          <w:tcPr>
            <w:tcW w:w="1976" w:type="dxa"/>
            <w:tcBorders>
              <w:top w:val="nil"/>
              <w:bottom w:val="nil"/>
            </w:tcBorders>
            <w:shd w:val="clear" w:color="auto" w:fill="F2F2F2" w:themeFill="background1" w:themeFillShade="F2"/>
            <w:vAlign w:val="bottom"/>
          </w:tcPr>
          <w:p w:rsidR="00C04F6E" w:rsidRPr="00C04F6E" w:rsidRDefault="00C04F6E" w:rsidP="00C82363">
            <w:pPr>
              <w:spacing w:before="120" w:line="240" w:lineRule="auto"/>
              <w:jc w:val="center"/>
            </w:pPr>
            <w:r w:rsidRPr="00C04F6E">
              <w:t>3.1</w:t>
            </w:r>
          </w:p>
        </w:tc>
        <w:tc>
          <w:tcPr>
            <w:tcW w:w="2292" w:type="dxa"/>
            <w:tcBorders>
              <w:top w:val="nil"/>
              <w:bottom w:val="nil"/>
              <w:right w:val="nil"/>
            </w:tcBorders>
            <w:shd w:val="clear" w:color="auto" w:fill="F2F2F2" w:themeFill="background1" w:themeFillShade="F2"/>
            <w:vAlign w:val="bottom"/>
          </w:tcPr>
          <w:p w:rsidR="00C04F6E" w:rsidRPr="00121198" w:rsidRDefault="00C04F6E" w:rsidP="00C82363">
            <w:pPr>
              <w:spacing w:before="120" w:line="240" w:lineRule="auto"/>
              <w:jc w:val="center"/>
            </w:pPr>
            <w:r w:rsidRPr="00121198">
              <w:t>56.4</w:t>
            </w:r>
          </w:p>
        </w:tc>
      </w:tr>
      <w:tr w:rsidR="00C04F6E" w:rsidRPr="004C4AF4" w:rsidTr="002B0B25">
        <w:trPr>
          <w:trHeight w:val="660"/>
          <w:jc w:val="center"/>
        </w:trPr>
        <w:tc>
          <w:tcPr>
            <w:tcW w:w="3488" w:type="dxa"/>
            <w:tcBorders>
              <w:top w:val="nil"/>
              <w:left w:val="nil"/>
              <w:bottom w:val="nil"/>
            </w:tcBorders>
            <w:vAlign w:val="center"/>
          </w:tcPr>
          <w:p w:rsidR="00C04F6E" w:rsidRPr="00121198" w:rsidRDefault="00C04F6E" w:rsidP="002B0B25">
            <w:pPr>
              <w:spacing w:before="120" w:line="240" w:lineRule="auto"/>
              <w:rPr>
                <w:rtl/>
              </w:rPr>
            </w:pPr>
            <w:r w:rsidRPr="00121198">
              <w:t>Rishon LeZiyyon</w:t>
            </w:r>
          </w:p>
          <w:p w:rsidR="00C04F6E" w:rsidRPr="00121198" w:rsidRDefault="00C04F6E" w:rsidP="002B0B25">
            <w:pPr>
              <w:spacing w:before="120" w:line="240" w:lineRule="auto"/>
            </w:pPr>
            <w:r w:rsidRPr="00121198">
              <w:t>Ramat Eliyahu (North)</w:t>
            </w:r>
          </w:p>
        </w:tc>
        <w:tc>
          <w:tcPr>
            <w:tcW w:w="1976" w:type="dxa"/>
            <w:tcBorders>
              <w:top w:val="nil"/>
              <w:bottom w:val="nil"/>
            </w:tcBorders>
            <w:vAlign w:val="bottom"/>
          </w:tcPr>
          <w:p w:rsidR="00C04F6E" w:rsidRPr="00C04F6E" w:rsidRDefault="00C04F6E" w:rsidP="00C82363">
            <w:pPr>
              <w:spacing w:before="120" w:line="240" w:lineRule="auto"/>
              <w:jc w:val="center"/>
            </w:pPr>
            <w:r w:rsidRPr="00C04F6E">
              <w:t>5.1</w:t>
            </w:r>
          </w:p>
        </w:tc>
        <w:tc>
          <w:tcPr>
            <w:tcW w:w="1976" w:type="dxa"/>
            <w:tcBorders>
              <w:top w:val="nil"/>
              <w:bottom w:val="nil"/>
            </w:tcBorders>
            <w:vAlign w:val="bottom"/>
          </w:tcPr>
          <w:p w:rsidR="00C04F6E" w:rsidRPr="00C04F6E" w:rsidRDefault="00C04F6E" w:rsidP="00C82363">
            <w:pPr>
              <w:spacing w:before="120" w:line="240" w:lineRule="auto"/>
              <w:jc w:val="center"/>
            </w:pPr>
            <w:r w:rsidRPr="00C04F6E">
              <w:t>2.7</w:t>
            </w:r>
          </w:p>
        </w:tc>
        <w:tc>
          <w:tcPr>
            <w:tcW w:w="2292" w:type="dxa"/>
            <w:tcBorders>
              <w:top w:val="nil"/>
              <w:bottom w:val="nil"/>
              <w:right w:val="nil"/>
            </w:tcBorders>
            <w:vAlign w:val="bottom"/>
          </w:tcPr>
          <w:p w:rsidR="00C04F6E" w:rsidRPr="00121198" w:rsidRDefault="00C04F6E" w:rsidP="00C82363">
            <w:pPr>
              <w:spacing w:before="120" w:line="240" w:lineRule="auto"/>
              <w:jc w:val="center"/>
            </w:pPr>
            <w:r w:rsidRPr="00121198">
              <w:t>52.3</w:t>
            </w:r>
          </w:p>
        </w:tc>
      </w:tr>
      <w:tr w:rsidR="00C04F6E" w:rsidRPr="004C4AF4" w:rsidTr="002B0B25">
        <w:trPr>
          <w:trHeight w:val="20"/>
          <w:jc w:val="center"/>
        </w:trPr>
        <w:tc>
          <w:tcPr>
            <w:tcW w:w="3488" w:type="dxa"/>
            <w:tcBorders>
              <w:top w:val="nil"/>
              <w:left w:val="nil"/>
              <w:bottom w:val="nil"/>
            </w:tcBorders>
            <w:shd w:val="clear" w:color="auto" w:fill="F2F2F2" w:themeFill="background1" w:themeFillShade="F2"/>
            <w:vAlign w:val="center"/>
          </w:tcPr>
          <w:p w:rsidR="00C04F6E" w:rsidRPr="00121198" w:rsidRDefault="00C04F6E" w:rsidP="002B0B25">
            <w:pPr>
              <w:spacing w:before="120" w:line="240" w:lineRule="auto"/>
              <w:rPr>
                <w:rtl/>
              </w:rPr>
            </w:pPr>
            <w:r w:rsidRPr="00121198">
              <w:t>Bet Shemesh</w:t>
            </w:r>
          </w:p>
          <w:p w:rsidR="00C04F6E" w:rsidRPr="00121198" w:rsidRDefault="00C04F6E" w:rsidP="002B0B25">
            <w:pPr>
              <w:spacing w:before="120" w:line="240" w:lineRule="auto"/>
            </w:pPr>
            <w:r w:rsidRPr="00121198">
              <w:t>Qiryat Ben Eli’ezer;</w:t>
            </w:r>
            <w:r w:rsidRPr="00121198">
              <w:br/>
              <w:t>Ganne Shemesh</w:t>
            </w:r>
          </w:p>
        </w:tc>
        <w:tc>
          <w:tcPr>
            <w:tcW w:w="1976" w:type="dxa"/>
            <w:tcBorders>
              <w:top w:val="nil"/>
              <w:bottom w:val="nil"/>
            </w:tcBorders>
            <w:shd w:val="clear" w:color="auto" w:fill="F2F2F2" w:themeFill="background1" w:themeFillShade="F2"/>
            <w:vAlign w:val="bottom"/>
          </w:tcPr>
          <w:p w:rsidR="00C04F6E" w:rsidRPr="00662526" w:rsidRDefault="00C04F6E" w:rsidP="00C82363">
            <w:pPr>
              <w:spacing w:before="120" w:line="240" w:lineRule="auto"/>
              <w:jc w:val="center"/>
            </w:pPr>
            <w:r w:rsidRPr="00C04F6E">
              <w:t>1.1</w:t>
            </w:r>
          </w:p>
        </w:tc>
        <w:tc>
          <w:tcPr>
            <w:tcW w:w="1976" w:type="dxa"/>
            <w:tcBorders>
              <w:top w:val="nil"/>
              <w:bottom w:val="nil"/>
            </w:tcBorders>
            <w:shd w:val="clear" w:color="auto" w:fill="F2F2F2" w:themeFill="background1" w:themeFillShade="F2"/>
            <w:vAlign w:val="bottom"/>
          </w:tcPr>
          <w:p w:rsidR="00C04F6E" w:rsidRPr="00C04F6E" w:rsidRDefault="00C04F6E" w:rsidP="00C82363">
            <w:pPr>
              <w:spacing w:before="120" w:line="240" w:lineRule="auto"/>
              <w:jc w:val="center"/>
            </w:pPr>
            <w:r w:rsidRPr="00C04F6E">
              <w:t>0.4</w:t>
            </w:r>
          </w:p>
        </w:tc>
        <w:tc>
          <w:tcPr>
            <w:tcW w:w="2292" w:type="dxa"/>
            <w:tcBorders>
              <w:top w:val="nil"/>
              <w:bottom w:val="nil"/>
              <w:right w:val="nil"/>
            </w:tcBorders>
            <w:shd w:val="clear" w:color="auto" w:fill="F2F2F2" w:themeFill="background1" w:themeFillShade="F2"/>
            <w:vAlign w:val="bottom"/>
          </w:tcPr>
          <w:p w:rsidR="00C04F6E" w:rsidRPr="00121198" w:rsidRDefault="00C04F6E" w:rsidP="00C82363">
            <w:pPr>
              <w:spacing w:before="120" w:line="240" w:lineRule="auto"/>
              <w:jc w:val="center"/>
            </w:pPr>
            <w:r w:rsidRPr="00121198">
              <w:t>39.0</w:t>
            </w:r>
          </w:p>
        </w:tc>
      </w:tr>
      <w:tr w:rsidR="00C04F6E" w:rsidRPr="005B5B6A" w:rsidTr="002B0B25">
        <w:trPr>
          <w:trHeight w:val="20"/>
          <w:jc w:val="center"/>
        </w:trPr>
        <w:tc>
          <w:tcPr>
            <w:tcW w:w="3488" w:type="dxa"/>
            <w:tcBorders>
              <w:top w:val="nil"/>
              <w:left w:val="nil"/>
              <w:bottom w:val="nil"/>
            </w:tcBorders>
            <w:vAlign w:val="center"/>
          </w:tcPr>
          <w:p w:rsidR="00C04F6E" w:rsidRPr="00121198" w:rsidRDefault="00C04F6E" w:rsidP="002B0B25">
            <w:pPr>
              <w:spacing w:before="120" w:line="240" w:lineRule="auto"/>
            </w:pPr>
            <w:r w:rsidRPr="00121198">
              <w:t>Netanya</w:t>
            </w:r>
          </w:p>
          <w:p w:rsidR="00C04F6E" w:rsidRPr="00121198" w:rsidRDefault="00C04F6E" w:rsidP="002B0B25">
            <w:pPr>
              <w:spacing w:before="120" w:line="240" w:lineRule="auto"/>
            </w:pPr>
            <w:r w:rsidRPr="00121198">
              <w:t>Ne’ot Shaked (Azorim) East</w:t>
            </w:r>
          </w:p>
        </w:tc>
        <w:tc>
          <w:tcPr>
            <w:tcW w:w="1976" w:type="dxa"/>
            <w:tcBorders>
              <w:top w:val="nil"/>
              <w:bottom w:val="nil"/>
            </w:tcBorders>
            <w:vAlign w:val="bottom"/>
          </w:tcPr>
          <w:p w:rsidR="00C04F6E" w:rsidRPr="00C04F6E" w:rsidRDefault="00C04F6E" w:rsidP="00C82363">
            <w:pPr>
              <w:spacing w:before="120" w:line="240" w:lineRule="auto"/>
              <w:jc w:val="center"/>
            </w:pPr>
            <w:r w:rsidRPr="00C04F6E">
              <w:t>5.0</w:t>
            </w:r>
          </w:p>
        </w:tc>
        <w:tc>
          <w:tcPr>
            <w:tcW w:w="1976" w:type="dxa"/>
            <w:tcBorders>
              <w:top w:val="nil"/>
              <w:bottom w:val="nil"/>
            </w:tcBorders>
            <w:vAlign w:val="bottom"/>
          </w:tcPr>
          <w:p w:rsidR="00C04F6E" w:rsidRPr="00C04F6E" w:rsidRDefault="00C04F6E" w:rsidP="00C82363">
            <w:pPr>
              <w:spacing w:before="120" w:line="240" w:lineRule="auto"/>
              <w:jc w:val="center"/>
            </w:pPr>
            <w:r w:rsidRPr="00C04F6E">
              <w:t>1.9</w:t>
            </w:r>
          </w:p>
        </w:tc>
        <w:tc>
          <w:tcPr>
            <w:tcW w:w="2292" w:type="dxa"/>
            <w:tcBorders>
              <w:top w:val="nil"/>
              <w:bottom w:val="nil"/>
              <w:right w:val="nil"/>
            </w:tcBorders>
            <w:vAlign w:val="bottom"/>
          </w:tcPr>
          <w:p w:rsidR="00C04F6E" w:rsidRPr="00121198" w:rsidRDefault="00C04F6E" w:rsidP="00C82363">
            <w:pPr>
              <w:spacing w:before="120" w:line="240" w:lineRule="auto"/>
              <w:jc w:val="center"/>
            </w:pPr>
            <w:r w:rsidRPr="00121198">
              <w:t>38.5</w:t>
            </w:r>
          </w:p>
        </w:tc>
      </w:tr>
      <w:tr w:rsidR="00C04F6E" w:rsidRPr="005B5B6A" w:rsidTr="002B0B25">
        <w:trPr>
          <w:trHeight w:val="20"/>
          <w:jc w:val="center"/>
        </w:trPr>
        <w:tc>
          <w:tcPr>
            <w:tcW w:w="3488" w:type="dxa"/>
            <w:tcBorders>
              <w:top w:val="nil"/>
              <w:left w:val="nil"/>
              <w:bottom w:val="single" w:sz="6" w:space="0" w:color="auto"/>
            </w:tcBorders>
            <w:shd w:val="clear" w:color="auto" w:fill="F2F2F2" w:themeFill="background1" w:themeFillShade="F2"/>
            <w:vAlign w:val="center"/>
          </w:tcPr>
          <w:p w:rsidR="00C04F6E" w:rsidRPr="00121198" w:rsidRDefault="00C04F6E" w:rsidP="002B0B25">
            <w:pPr>
              <w:spacing w:before="120" w:line="240" w:lineRule="auto"/>
              <w:rPr>
                <w:rtl/>
              </w:rPr>
            </w:pPr>
            <w:r w:rsidRPr="00121198">
              <w:t>Qiryat Mal’akhi</w:t>
            </w:r>
          </w:p>
          <w:p w:rsidR="00C04F6E" w:rsidRPr="00121198" w:rsidRDefault="00C04F6E" w:rsidP="002B0B25">
            <w:pPr>
              <w:spacing w:before="120" w:line="240" w:lineRule="auto"/>
            </w:pPr>
            <w:r w:rsidRPr="00121198">
              <w:t>Herzl; Weizmann; Newe Or</w:t>
            </w:r>
          </w:p>
        </w:tc>
        <w:tc>
          <w:tcPr>
            <w:tcW w:w="1976" w:type="dxa"/>
            <w:tcBorders>
              <w:top w:val="nil"/>
              <w:bottom w:val="single" w:sz="6" w:space="0" w:color="auto"/>
            </w:tcBorders>
            <w:shd w:val="clear" w:color="auto" w:fill="F2F2F2" w:themeFill="background1" w:themeFillShade="F2"/>
            <w:vAlign w:val="bottom"/>
          </w:tcPr>
          <w:p w:rsidR="00C04F6E" w:rsidRPr="00C04F6E" w:rsidRDefault="00C04F6E" w:rsidP="00C82363">
            <w:pPr>
              <w:spacing w:before="120" w:line="240" w:lineRule="auto"/>
              <w:jc w:val="center"/>
            </w:pPr>
            <w:r w:rsidRPr="00C04F6E">
              <w:t>5.0</w:t>
            </w:r>
          </w:p>
        </w:tc>
        <w:tc>
          <w:tcPr>
            <w:tcW w:w="1976" w:type="dxa"/>
            <w:tcBorders>
              <w:top w:val="nil"/>
              <w:bottom w:val="single" w:sz="6" w:space="0" w:color="auto"/>
            </w:tcBorders>
            <w:shd w:val="clear" w:color="auto" w:fill="F2F2F2" w:themeFill="background1" w:themeFillShade="F2"/>
            <w:vAlign w:val="bottom"/>
          </w:tcPr>
          <w:p w:rsidR="00C04F6E" w:rsidRPr="00C04F6E" w:rsidRDefault="00C04F6E" w:rsidP="00C82363">
            <w:pPr>
              <w:spacing w:before="120" w:line="240" w:lineRule="auto"/>
              <w:jc w:val="center"/>
            </w:pPr>
            <w:r w:rsidRPr="00C04F6E">
              <w:t>1.9</w:t>
            </w:r>
          </w:p>
        </w:tc>
        <w:tc>
          <w:tcPr>
            <w:tcW w:w="2292" w:type="dxa"/>
            <w:tcBorders>
              <w:top w:val="nil"/>
              <w:bottom w:val="single" w:sz="6" w:space="0" w:color="auto"/>
              <w:right w:val="nil"/>
            </w:tcBorders>
            <w:shd w:val="clear" w:color="auto" w:fill="F2F2F2" w:themeFill="background1" w:themeFillShade="F2"/>
            <w:vAlign w:val="bottom"/>
          </w:tcPr>
          <w:p w:rsidR="00C04F6E" w:rsidRPr="00121198" w:rsidRDefault="00C04F6E" w:rsidP="00C82363">
            <w:pPr>
              <w:spacing w:before="120" w:line="240" w:lineRule="auto"/>
              <w:jc w:val="center"/>
              <w:rPr>
                <w:rtl/>
              </w:rPr>
            </w:pPr>
            <w:r w:rsidRPr="00121198">
              <w:t>37.1</w:t>
            </w:r>
          </w:p>
        </w:tc>
      </w:tr>
    </w:tbl>
    <w:p w:rsidR="008A6C07" w:rsidRPr="00F313AC" w:rsidRDefault="008A6C07" w:rsidP="002B0B25">
      <w:pPr>
        <w:pStyle w:val="ListParagraph"/>
        <w:numPr>
          <w:ilvl w:val="0"/>
          <w:numId w:val="27"/>
        </w:numPr>
        <w:spacing w:before="120"/>
        <w:ind w:left="714" w:hanging="357"/>
        <w:jc w:val="center"/>
      </w:pPr>
      <w:r w:rsidRPr="00F313AC">
        <w:t xml:space="preserve">Localities with 2,000 or more </w:t>
      </w:r>
      <w:r w:rsidR="00B8489F" w:rsidRPr="00F313AC">
        <w:t>residents of Ethiopian origin</w:t>
      </w:r>
    </w:p>
    <w:p w:rsidR="00195816" w:rsidRPr="00D67363" w:rsidRDefault="00774869" w:rsidP="00975F45">
      <w:pPr>
        <w:pStyle w:val="Heading3"/>
      </w:pPr>
      <w:r>
        <w:t>M</w:t>
      </w:r>
      <w:r w:rsidR="00226445" w:rsidRPr="00D67363">
        <w:t>arriages and Divorces</w:t>
      </w:r>
      <w:r w:rsidR="00BB4C74">
        <w:t xml:space="preserve"> in 2018</w:t>
      </w:r>
    </w:p>
    <w:p w:rsidR="00226445" w:rsidRPr="0031203B" w:rsidRDefault="00226445" w:rsidP="00B84738">
      <w:r w:rsidRPr="0031203B">
        <w:t xml:space="preserve">During </w:t>
      </w:r>
      <w:r w:rsidRPr="00C75AA7">
        <w:t>201</w:t>
      </w:r>
      <w:r w:rsidR="00214CA2">
        <w:t>8</w:t>
      </w:r>
      <w:r w:rsidRPr="0031203B">
        <w:t xml:space="preserve">, </w:t>
      </w:r>
      <w:r w:rsidR="00214CA2">
        <w:t>793</w:t>
      </w:r>
      <w:r w:rsidRPr="0031203B">
        <w:t xml:space="preserve"> grooms and </w:t>
      </w:r>
      <w:r w:rsidR="00214CA2">
        <w:t>867</w:t>
      </w:r>
      <w:r w:rsidRPr="0031203B">
        <w:t xml:space="preserve"> brides of Ethiopian origin were married in Israel</w:t>
      </w:r>
      <w:r w:rsidR="00101C36">
        <w:t xml:space="preserve"> in licen</w:t>
      </w:r>
      <w:r w:rsidR="00E754C3">
        <w:t>c</w:t>
      </w:r>
      <w:r w:rsidR="00101C36">
        <w:t>ed religious institutions</w:t>
      </w:r>
      <w:r w:rsidRPr="0031203B">
        <w:t>,</w:t>
      </w:r>
      <w:r w:rsidR="00214CA2">
        <w:rPr>
          <w:rStyle w:val="FootnoteReference"/>
        </w:rPr>
        <w:footnoteReference w:id="6"/>
      </w:r>
      <w:r w:rsidRPr="0031203B">
        <w:t xml:space="preserve"> 9</w:t>
      </w:r>
      <w:r w:rsidR="00EF0738">
        <w:t>1</w:t>
      </w:r>
      <w:r w:rsidRPr="0031203B">
        <w:t>% for the first time.</w:t>
      </w:r>
    </w:p>
    <w:p w:rsidR="00FF4307" w:rsidRPr="00B84738" w:rsidRDefault="00386AF3" w:rsidP="00B84738">
      <w:pPr>
        <w:jc w:val="center"/>
        <w:rPr>
          <w:b/>
          <w:bCs/>
        </w:rPr>
      </w:pPr>
      <w:r w:rsidRPr="00B84738">
        <w:rPr>
          <w:b/>
          <w:bCs/>
        </w:rPr>
        <w:t xml:space="preserve">Table </w:t>
      </w:r>
      <w:r w:rsidR="00BE2AB7" w:rsidRPr="00B84738">
        <w:rPr>
          <w:b/>
          <w:bCs/>
        </w:rPr>
        <w:t>C</w:t>
      </w:r>
      <w:r w:rsidR="00E754C3" w:rsidRPr="00B84738">
        <w:rPr>
          <w:b/>
          <w:bCs/>
        </w:rPr>
        <w:t xml:space="preserve"> -</w:t>
      </w:r>
      <w:r w:rsidRPr="00B84738">
        <w:rPr>
          <w:b/>
          <w:bCs/>
        </w:rPr>
        <w:t xml:space="preserve"> Marriages of </w:t>
      </w:r>
      <w:r w:rsidR="00ED03B6" w:rsidRPr="00B84738">
        <w:rPr>
          <w:b/>
          <w:bCs/>
        </w:rPr>
        <w:t xml:space="preserve">Persons of Ethiopian Origin </w:t>
      </w:r>
      <w:r w:rsidRPr="00B84738">
        <w:rPr>
          <w:b/>
          <w:bCs/>
        </w:rPr>
        <w:t>in 201</w:t>
      </w:r>
      <w:r w:rsidR="00701F5A" w:rsidRPr="00B84738">
        <w:rPr>
          <w:b/>
          <w:bCs/>
        </w:rPr>
        <w:t>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C - Marriages of Persons of Ethiopian Origin in 2018"/>
        <w:tblDescription w:val="Table C - Marriages of Persons of Ethiopian Origin in 2018"/>
      </w:tblPr>
      <w:tblGrid>
        <w:gridCol w:w="5853"/>
        <w:gridCol w:w="1632"/>
        <w:gridCol w:w="1518"/>
      </w:tblGrid>
      <w:tr w:rsidR="00FF4307" w:rsidRPr="0031203B" w:rsidTr="00F8092C">
        <w:trPr>
          <w:trHeight w:val="595"/>
          <w:tblHeader/>
          <w:jc w:val="center"/>
        </w:trPr>
        <w:tc>
          <w:tcPr>
            <w:tcW w:w="5853" w:type="dxa"/>
            <w:tcBorders>
              <w:bottom w:val="single" w:sz="4" w:space="0" w:color="auto"/>
            </w:tcBorders>
            <w:shd w:val="clear" w:color="auto" w:fill="BFBFBF" w:themeFill="background1" w:themeFillShade="BF"/>
            <w:vAlign w:val="center"/>
          </w:tcPr>
          <w:p w:rsidR="00FF4307" w:rsidRPr="00F8092C" w:rsidRDefault="00A50AF7" w:rsidP="00975F45">
            <w:pPr>
              <w:rPr>
                <w:rtl/>
              </w:rPr>
            </w:pPr>
            <w:r w:rsidRPr="00F8092C">
              <w:t>Absolute numbers</w:t>
            </w:r>
          </w:p>
        </w:tc>
        <w:tc>
          <w:tcPr>
            <w:tcW w:w="1632" w:type="dxa"/>
            <w:tcBorders>
              <w:bottom w:val="single" w:sz="4" w:space="0" w:color="auto"/>
            </w:tcBorders>
            <w:shd w:val="clear" w:color="auto" w:fill="BFBFBF" w:themeFill="background1" w:themeFillShade="BF"/>
            <w:vAlign w:val="center"/>
          </w:tcPr>
          <w:p w:rsidR="00FF4307" w:rsidRPr="0031203B" w:rsidRDefault="00FF4307" w:rsidP="00975F45">
            <w:pPr>
              <w:rPr>
                <w:rtl/>
              </w:rPr>
            </w:pPr>
            <w:r w:rsidRPr="0031203B">
              <w:t>Grooms</w:t>
            </w:r>
          </w:p>
        </w:tc>
        <w:tc>
          <w:tcPr>
            <w:tcW w:w="1518" w:type="dxa"/>
            <w:tcBorders>
              <w:bottom w:val="single" w:sz="4" w:space="0" w:color="auto"/>
            </w:tcBorders>
            <w:shd w:val="clear" w:color="auto" w:fill="BFBFBF" w:themeFill="background1" w:themeFillShade="BF"/>
            <w:vAlign w:val="center"/>
          </w:tcPr>
          <w:p w:rsidR="00FF4307" w:rsidRPr="00D67363" w:rsidRDefault="00FF4307" w:rsidP="00975F45">
            <w:pPr>
              <w:rPr>
                <w:rtl/>
              </w:rPr>
            </w:pPr>
            <w:r w:rsidRPr="0031203B">
              <w:t>Brides</w:t>
            </w:r>
          </w:p>
        </w:tc>
      </w:tr>
      <w:tr w:rsidR="00C10A6F" w:rsidRPr="0031203B" w:rsidTr="001D6540">
        <w:trPr>
          <w:trHeight w:val="20"/>
          <w:jc w:val="center"/>
        </w:trPr>
        <w:tc>
          <w:tcPr>
            <w:tcW w:w="5853" w:type="dxa"/>
            <w:tcBorders>
              <w:bottom w:val="nil"/>
            </w:tcBorders>
            <w:shd w:val="clear" w:color="auto" w:fill="D9D9D9" w:themeFill="background1" w:themeFillShade="D9"/>
            <w:vAlign w:val="center"/>
          </w:tcPr>
          <w:p w:rsidR="00C10A6F" w:rsidRPr="0031203B" w:rsidRDefault="00C10A6F" w:rsidP="00975F45">
            <w:pPr>
              <w:rPr>
                <w:rtl/>
              </w:rPr>
            </w:pPr>
            <w:r w:rsidRPr="0031203B">
              <w:t xml:space="preserve">Total number of </w:t>
            </w:r>
            <w:r>
              <w:t xml:space="preserve">persons of Ethiopian origin </w:t>
            </w:r>
            <w:r w:rsidRPr="0031203B">
              <w:t>marrying</w:t>
            </w:r>
          </w:p>
        </w:tc>
        <w:tc>
          <w:tcPr>
            <w:tcW w:w="1632" w:type="dxa"/>
            <w:tcBorders>
              <w:bottom w:val="nil"/>
            </w:tcBorders>
            <w:shd w:val="clear" w:color="auto" w:fill="D9D9D9" w:themeFill="background1" w:themeFillShade="D9"/>
          </w:tcPr>
          <w:p w:rsidR="00C10A6F" w:rsidRPr="006176C7" w:rsidRDefault="00C10A6F" w:rsidP="00C82363">
            <w:pPr>
              <w:jc w:val="center"/>
              <w:rPr>
                <w:b/>
                <w:bCs/>
                <w:rtl/>
              </w:rPr>
            </w:pPr>
            <w:r w:rsidRPr="006176C7">
              <w:rPr>
                <w:rtl/>
              </w:rPr>
              <w:t>793</w:t>
            </w:r>
          </w:p>
        </w:tc>
        <w:tc>
          <w:tcPr>
            <w:tcW w:w="1518" w:type="dxa"/>
            <w:tcBorders>
              <w:bottom w:val="nil"/>
            </w:tcBorders>
            <w:shd w:val="clear" w:color="auto" w:fill="D9D9D9" w:themeFill="background1" w:themeFillShade="D9"/>
          </w:tcPr>
          <w:p w:rsidR="00C10A6F" w:rsidRPr="00F71482" w:rsidRDefault="00C10A6F" w:rsidP="00C82363">
            <w:pPr>
              <w:jc w:val="center"/>
              <w:rPr>
                <w:rFonts w:asciiTheme="minorBidi" w:hAnsiTheme="minorBidi"/>
                <w:b/>
                <w:bCs/>
                <w:rtl/>
              </w:rPr>
            </w:pPr>
            <w:r w:rsidRPr="00BE4D64">
              <w:rPr>
                <w:rFonts w:hint="cs"/>
                <w:rtl/>
              </w:rPr>
              <w:t>867</w:t>
            </w:r>
          </w:p>
        </w:tc>
      </w:tr>
      <w:tr w:rsidR="00C10A6F" w:rsidRPr="0031203B" w:rsidTr="001D6540">
        <w:trPr>
          <w:trHeight w:val="20"/>
          <w:jc w:val="center"/>
        </w:trPr>
        <w:tc>
          <w:tcPr>
            <w:tcW w:w="5853" w:type="dxa"/>
            <w:tcBorders>
              <w:top w:val="nil"/>
              <w:bottom w:val="nil"/>
            </w:tcBorders>
            <w:shd w:val="clear" w:color="auto" w:fill="F2F2F2" w:themeFill="background1" w:themeFillShade="F2"/>
            <w:vAlign w:val="center"/>
          </w:tcPr>
          <w:p w:rsidR="00C10A6F" w:rsidRPr="0031203B" w:rsidRDefault="00C10A6F" w:rsidP="00975F45">
            <w:pPr>
              <w:rPr>
                <w:rtl/>
              </w:rPr>
            </w:pPr>
            <w:r w:rsidRPr="0031203B">
              <w:t xml:space="preserve">Born in Ethiopia </w:t>
            </w:r>
            <w:r w:rsidR="00390A65">
              <w:t>–</w:t>
            </w:r>
            <w:r w:rsidRPr="0031203B">
              <w:t xml:space="preserve"> total</w:t>
            </w:r>
          </w:p>
        </w:tc>
        <w:tc>
          <w:tcPr>
            <w:tcW w:w="1632" w:type="dxa"/>
            <w:tcBorders>
              <w:top w:val="nil"/>
              <w:bottom w:val="nil"/>
            </w:tcBorders>
            <w:shd w:val="clear" w:color="auto" w:fill="F2F2F2" w:themeFill="background1" w:themeFillShade="F2"/>
          </w:tcPr>
          <w:p w:rsidR="00C10A6F" w:rsidRPr="006176C7" w:rsidRDefault="00C10A6F" w:rsidP="00C82363">
            <w:pPr>
              <w:jc w:val="center"/>
              <w:rPr>
                <w:b/>
                <w:bCs/>
                <w:rtl/>
              </w:rPr>
            </w:pPr>
            <w:r w:rsidRPr="006176C7">
              <w:rPr>
                <w:rtl/>
              </w:rPr>
              <w:t>626</w:t>
            </w:r>
          </w:p>
        </w:tc>
        <w:tc>
          <w:tcPr>
            <w:tcW w:w="1518" w:type="dxa"/>
            <w:tcBorders>
              <w:top w:val="nil"/>
              <w:bottom w:val="nil"/>
            </w:tcBorders>
            <w:shd w:val="clear" w:color="auto" w:fill="F2F2F2" w:themeFill="background1" w:themeFillShade="F2"/>
          </w:tcPr>
          <w:p w:rsidR="00C10A6F" w:rsidRPr="00F71482" w:rsidRDefault="00C10A6F" w:rsidP="00C82363">
            <w:pPr>
              <w:jc w:val="center"/>
              <w:rPr>
                <w:rFonts w:asciiTheme="minorBidi" w:hAnsiTheme="minorBidi"/>
                <w:b/>
                <w:bCs/>
                <w:rtl/>
              </w:rPr>
            </w:pPr>
            <w:r w:rsidRPr="00BE4D64">
              <w:rPr>
                <w:rFonts w:hint="cs"/>
                <w:rtl/>
              </w:rPr>
              <w:t>608</w:t>
            </w:r>
          </w:p>
        </w:tc>
      </w:tr>
      <w:tr w:rsidR="00C10A6F" w:rsidRPr="0031203B" w:rsidTr="00E16FD7">
        <w:trPr>
          <w:trHeight w:val="20"/>
          <w:jc w:val="center"/>
        </w:trPr>
        <w:tc>
          <w:tcPr>
            <w:tcW w:w="5853" w:type="dxa"/>
            <w:tcBorders>
              <w:top w:val="nil"/>
              <w:bottom w:val="nil"/>
            </w:tcBorders>
            <w:shd w:val="clear" w:color="auto" w:fill="auto"/>
            <w:vAlign w:val="center"/>
          </w:tcPr>
          <w:p w:rsidR="00C10A6F" w:rsidRPr="0031203B" w:rsidRDefault="00C10A6F" w:rsidP="00975F45">
            <w:pPr>
              <w:rPr>
                <w:rtl/>
              </w:rPr>
            </w:pPr>
            <w:r>
              <w:t>Thereof</w:t>
            </w:r>
            <w:r w:rsidRPr="0031203B">
              <w:t>: Immigrated through 1990</w:t>
            </w:r>
          </w:p>
        </w:tc>
        <w:tc>
          <w:tcPr>
            <w:tcW w:w="1632" w:type="dxa"/>
            <w:tcBorders>
              <w:top w:val="nil"/>
              <w:bottom w:val="nil"/>
            </w:tcBorders>
            <w:shd w:val="clear" w:color="auto" w:fill="auto"/>
          </w:tcPr>
          <w:p w:rsidR="00C10A6F" w:rsidRPr="006176C7" w:rsidRDefault="006176C7" w:rsidP="00C82363">
            <w:pPr>
              <w:jc w:val="center"/>
              <w:rPr>
                <w:b/>
                <w:bCs/>
                <w:rtl/>
              </w:rPr>
            </w:pPr>
            <w:r w:rsidRPr="006176C7">
              <w:t>107</w:t>
            </w:r>
          </w:p>
        </w:tc>
        <w:tc>
          <w:tcPr>
            <w:tcW w:w="1518" w:type="dxa"/>
            <w:tcBorders>
              <w:top w:val="nil"/>
              <w:bottom w:val="nil"/>
            </w:tcBorders>
            <w:shd w:val="clear" w:color="auto" w:fill="auto"/>
          </w:tcPr>
          <w:p w:rsidR="00C10A6F" w:rsidRPr="00F71482" w:rsidRDefault="00C10A6F" w:rsidP="00C82363">
            <w:pPr>
              <w:jc w:val="center"/>
              <w:rPr>
                <w:rFonts w:asciiTheme="minorBidi" w:hAnsiTheme="minorBidi"/>
                <w:b/>
                <w:bCs/>
                <w:rtl/>
              </w:rPr>
            </w:pPr>
            <w:r w:rsidRPr="00BE4D64">
              <w:rPr>
                <w:rFonts w:hint="cs"/>
                <w:rtl/>
              </w:rPr>
              <w:t>85</w:t>
            </w:r>
          </w:p>
        </w:tc>
      </w:tr>
      <w:tr w:rsidR="00C10A6F" w:rsidRPr="0031203B" w:rsidTr="001D6540">
        <w:trPr>
          <w:trHeight w:val="20"/>
          <w:jc w:val="center"/>
        </w:trPr>
        <w:tc>
          <w:tcPr>
            <w:tcW w:w="5853" w:type="dxa"/>
            <w:tcBorders>
              <w:top w:val="nil"/>
              <w:bottom w:val="nil"/>
            </w:tcBorders>
            <w:shd w:val="clear" w:color="auto" w:fill="auto"/>
            <w:vAlign w:val="center"/>
          </w:tcPr>
          <w:p w:rsidR="00C10A6F" w:rsidRPr="0031203B" w:rsidRDefault="00C10A6F" w:rsidP="00975F45">
            <w:pPr>
              <w:rPr>
                <w:rtl/>
              </w:rPr>
            </w:pPr>
            <w:r w:rsidRPr="0031203B">
              <w:t>Immigrated after 1990</w:t>
            </w:r>
          </w:p>
        </w:tc>
        <w:tc>
          <w:tcPr>
            <w:tcW w:w="1632" w:type="dxa"/>
            <w:tcBorders>
              <w:top w:val="nil"/>
              <w:bottom w:val="nil"/>
            </w:tcBorders>
            <w:shd w:val="clear" w:color="auto" w:fill="auto"/>
          </w:tcPr>
          <w:p w:rsidR="00C10A6F" w:rsidRPr="006176C7" w:rsidRDefault="00C10A6F" w:rsidP="00C82363">
            <w:pPr>
              <w:jc w:val="center"/>
              <w:rPr>
                <w:b/>
                <w:bCs/>
                <w:rtl/>
              </w:rPr>
            </w:pPr>
            <w:r w:rsidRPr="006176C7">
              <w:rPr>
                <w:rtl/>
              </w:rPr>
              <w:t>519</w:t>
            </w:r>
          </w:p>
        </w:tc>
        <w:tc>
          <w:tcPr>
            <w:tcW w:w="1518" w:type="dxa"/>
            <w:tcBorders>
              <w:top w:val="nil"/>
              <w:bottom w:val="nil"/>
            </w:tcBorders>
            <w:shd w:val="clear" w:color="auto" w:fill="auto"/>
          </w:tcPr>
          <w:p w:rsidR="00C10A6F" w:rsidRPr="00F71482" w:rsidRDefault="00C10A6F" w:rsidP="00C82363">
            <w:pPr>
              <w:jc w:val="center"/>
              <w:rPr>
                <w:rFonts w:asciiTheme="minorBidi" w:hAnsiTheme="minorBidi"/>
                <w:b/>
                <w:bCs/>
                <w:rtl/>
              </w:rPr>
            </w:pPr>
            <w:r w:rsidRPr="00BE4D64">
              <w:rPr>
                <w:rFonts w:hint="cs"/>
                <w:rtl/>
              </w:rPr>
              <w:t>523</w:t>
            </w:r>
          </w:p>
        </w:tc>
      </w:tr>
      <w:tr w:rsidR="00C10A6F" w:rsidRPr="0031203B" w:rsidTr="001D6540">
        <w:trPr>
          <w:trHeight w:val="20"/>
          <w:jc w:val="center"/>
        </w:trPr>
        <w:tc>
          <w:tcPr>
            <w:tcW w:w="5853" w:type="dxa"/>
            <w:tcBorders>
              <w:top w:val="nil"/>
            </w:tcBorders>
            <w:shd w:val="clear" w:color="auto" w:fill="F2F2F2" w:themeFill="background1" w:themeFillShade="F2"/>
            <w:vAlign w:val="center"/>
          </w:tcPr>
          <w:p w:rsidR="00C10A6F" w:rsidRPr="0031203B" w:rsidRDefault="00C10A6F" w:rsidP="00975F45">
            <w:pPr>
              <w:rPr>
                <w:rtl/>
              </w:rPr>
            </w:pPr>
            <w:r w:rsidRPr="0031203B">
              <w:t>Israel</w:t>
            </w:r>
            <w:r>
              <w:t>i-born</w:t>
            </w:r>
            <w:r w:rsidRPr="0031203B">
              <w:t>, father born in Ethiopia</w:t>
            </w:r>
          </w:p>
        </w:tc>
        <w:tc>
          <w:tcPr>
            <w:tcW w:w="1632" w:type="dxa"/>
            <w:tcBorders>
              <w:top w:val="nil"/>
            </w:tcBorders>
            <w:shd w:val="clear" w:color="auto" w:fill="F2F2F2" w:themeFill="background1" w:themeFillShade="F2"/>
          </w:tcPr>
          <w:p w:rsidR="00C10A6F" w:rsidRPr="006176C7" w:rsidRDefault="00C10A6F" w:rsidP="00C82363">
            <w:pPr>
              <w:jc w:val="center"/>
              <w:rPr>
                <w:b/>
                <w:bCs/>
                <w:rtl/>
              </w:rPr>
            </w:pPr>
            <w:r w:rsidRPr="006176C7">
              <w:rPr>
                <w:rtl/>
              </w:rPr>
              <w:t>167</w:t>
            </w:r>
          </w:p>
        </w:tc>
        <w:tc>
          <w:tcPr>
            <w:tcW w:w="1518" w:type="dxa"/>
            <w:tcBorders>
              <w:top w:val="nil"/>
            </w:tcBorders>
            <w:shd w:val="clear" w:color="auto" w:fill="F2F2F2" w:themeFill="background1" w:themeFillShade="F2"/>
          </w:tcPr>
          <w:p w:rsidR="00C10A6F" w:rsidRPr="00F71482" w:rsidRDefault="00C10A6F" w:rsidP="00C82363">
            <w:pPr>
              <w:jc w:val="center"/>
              <w:rPr>
                <w:rFonts w:asciiTheme="minorBidi" w:hAnsiTheme="minorBidi"/>
                <w:b/>
                <w:bCs/>
                <w:rtl/>
              </w:rPr>
            </w:pPr>
            <w:r w:rsidRPr="00BE4D64">
              <w:rPr>
                <w:rFonts w:hint="cs"/>
                <w:rtl/>
              </w:rPr>
              <w:t>259</w:t>
            </w:r>
          </w:p>
        </w:tc>
      </w:tr>
    </w:tbl>
    <w:p w:rsidR="002E7F08" w:rsidRPr="0031203B" w:rsidRDefault="00386AF3" w:rsidP="00B84738">
      <w:r w:rsidRPr="0031203B">
        <w:t xml:space="preserve">Of </w:t>
      </w:r>
      <w:r w:rsidR="00E85F8B">
        <w:t xml:space="preserve">persons of Ethiopian origin </w:t>
      </w:r>
      <w:r w:rsidR="00AD7210" w:rsidRPr="0031203B">
        <w:t xml:space="preserve">who </w:t>
      </w:r>
      <w:r w:rsidRPr="0031203B">
        <w:t>marri</w:t>
      </w:r>
      <w:r w:rsidR="00AD7210" w:rsidRPr="0031203B">
        <w:t>ed</w:t>
      </w:r>
      <w:r w:rsidRPr="0031203B">
        <w:t xml:space="preserve">, </w:t>
      </w:r>
      <w:r w:rsidR="00ED1FC3">
        <w:t>8</w:t>
      </w:r>
      <w:r w:rsidR="009A46AB">
        <w:t>7</w:t>
      </w:r>
      <w:r w:rsidRPr="0031203B">
        <w:t>% married a spouse of the same origin</w:t>
      </w:r>
      <w:r w:rsidR="00D63BBE" w:rsidRPr="0031203B">
        <w:t>. The percentage of</w:t>
      </w:r>
      <w:r w:rsidRPr="0031203B">
        <w:t xml:space="preserve"> men </w:t>
      </w:r>
      <w:r w:rsidR="00D63BBE" w:rsidRPr="0031203B">
        <w:t>who married a spouse of the same origin</w:t>
      </w:r>
      <w:r w:rsidR="009A46AB">
        <w:t xml:space="preserve"> (9</w:t>
      </w:r>
      <w:r w:rsidR="00C10A6F">
        <w:t>1</w:t>
      </w:r>
      <w:r w:rsidR="009A46AB">
        <w:t>%)</w:t>
      </w:r>
      <w:r w:rsidR="00D63BBE" w:rsidRPr="0031203B">
        <w:t xml:space="preserve"> was </w:t>
      </w:r>
      <w:r w:rsidR="006F6D9C">
        <w:t xml:space="preserve">higher than the </w:t>
      </w:r>
      <w:r w:rsidR="00ED03B6">
        <w:t>percentage</w:t>
      </w:r>
      <w:r w:rsidR="00ED03B6" w:rsidRPr="0031203B">
        <w:t xml:space="preserve"> </w:t>
      </w:r>
      <w:r w:rsidR="00D63BBE" w:rsidRPr="0031203B">
        <w:t xml:space="preserve">of </w:t>
      </w:r>
      <w:r w:rsidRPr="0031203B">
        <w:t xml:space="preserve">women </w:t>
      </w:r>
      <w:r w:rsidR="006F6D9C">
        <w:t xml:space="preserve">who did so </w:t>
      </w:r>
      <w:r w:rsidRPr="0031203B">
        <w:t>(</w:t>
      </w:r>
      <w:r w:rsidR="009A46AB">
        <w:t>8</w:t>
      </w:r>
      <w:r w:rsidR="00C10A6F">
        <w:t>3</w:t>
      </w:r>
      <w:r w:rsidR="009A46AB">
        <w:t>%</w:t>
      </w:r>
      <w:r w:rsidRPr="0031203B">
        <w:t>).</w:t>
      </w:r>
      <w:r w:rsidR="007E07F1">
        <w:t xml:space="preserve"> </w:t>
      </w:r>
      <w:r w:rsidR="002E7F08" w:rsidRPr="0031203B">
        <w:t xml:space="preserve">Members of the </w:t>
      </w:r>
      <w:r w:rsidR="00E85F8B">
        <w:t>population of Ethiopian origin</w:t>
      </w:r>
      <w:r w:rsidR="002E7F08" w:rsidRPr="0031203B">
        <w:t xml:space="preserve"> tend</w:t>
      </w:r>
      <w:r w:rsidR="007E07F1">
        <w:t>ed</w:t>
      </w:r>
      <w:r w:rsidR="002E7F08" w:rsidRPr="0031203B">
        <w:t xml:space="preserve"> to marry at a later age than </w:t>
      </w:r>
      <w:r w:rsidR="00122ED3">
        <w:t xml:space="preserve">members of </w:t>
      </w:r>
      <w:r w:rsidR="002E7F08" w:rsidRPr="0031203B">
        <w:t xml:space="preserve">the </w:t>
      </w:r>
      <w:r w:rsidR="004E43CD">
        <w:t>overall</w:t>
      </w:r>
      <w:r w:rsidR="004E43CD" w:rsidRPr="0031203B">
        <w:t xml:space="preserve"> </w:t>
      </w:r>
      <w:r w:rsidR="002E7F08" w:rsidRPr="0031203B">
        <w:t>Jewish population</w:t>
      </w:r>
      <w:r w:rsidR="00122ED3">
        <w:t xml:space="preserve"> did</w:t>
      </w:r>
      <w:r w:rsidR="002E7F08" w:rsidRPr="0031203B">
        <w:t xml:space="preserve">. </w:t>
      </w:r>
      <w:r w:rsidR="00D63BBE" w:rsidRPr="0031203B">
        <w:t xml:space="preserve">Among </w:t>
      </w:r>
      <w:r w:rsidR="00E85F8B" w:rsidRPr="0031203B">
        <w:t xml:space="preserve">men </w:t>
      </w:r>
      <w:r w:rsidR="00E85F8B">
        <w:t xml:space="preserve">of </w:t>
      </w:r>
      <w:r w:rsidR="00D63BBE" w:rsidRPr="0031203B">
        <w:t>Ethiopian</w:t>
      </w:r>
      <w:r w:rsidR="00E85F8B">
        <w:t xml:space="preserve"> origin</w:t>
      </w:r>
      <w:r w:rsidR="00D63BBE" w:rsidRPr="0031203B">
        <w:t>, t</w:t>
      </w:r>
      <w:r w:rsidR="002E7F08" w:rsidRPr="0031203B">
        <w:t xml:space="preserve">he </w:t>
      </w:r>
      <w:r w:rsidR="00C10A6F">
        <w:t>average</w:t>
      </w:r>
      <w:r w:rsidR="002E7F08" w:rsidRPr="0031203B">
        <w:t xml:space="preserve"> age at first marriage was 2</w:t>
      </w:r>
      <w:r w:rsidR="004B39A3">
        <w:t>9.</w:t>
      </w:r>
      <w:r w:rsidR="00C10A6F">
        <w:t>7</w:t>
      </w:r>
      <w:r w:rsidR="002E7F08" w:rsidRPr="0031203B">
        <w:t xml:space="preserve"> in 201</w:t>
      </w:r>
      <w:r w:rsidR="00C10A6F">
        <w:t>8</w:t>
      </w:r>
      <w:r w:rsidR="002E7F08" w:rsidRPr="0031203B">
        <w:t xml:space="preserve"> (</w:t>
      </w:r>
      <w:r w:rsidR="00972E3F">
        <w:t>2.2</w:t>
      </w:r>
      <w:r w:rsidR="002E7F08" w:rsidRPr="0031203B">
        <w:t xml:space="preserve"> years older than</w:t>
      </w:r>
      <w:r w:rsidR="006D0F09">
        <w:t xml:space="preserve"> the median age of</w:t>
      </w:r>
      <w:r w:rsidR="002E7F08" w:rsidRPr="0031203B">
        <w:t xml:space="preserve"> Jewish grooms). Among</w:t>
      </w:r>
      <w:r w:rsidR="00E85F8B" w:rsidRPr="00E85F8B">
        <w:t xml:space="preserve"> </w:t>
      </w:r>
      <w:r w:rsidR="00E85F8B">
        <w:t>wo</w:t>
      </w:r>
      <w:r w:rsidR="00E85F8B" w:rsidRPr="0031203B">
        <w:t xml:space="preserve">men </w:t>
      </w:r>
      <w:r w:rsidR="00E85F8B">
        <w:t xml:space="preserve">of </w:t>
      </w:r>
      <w:r w:rsidR="00E85F8B" w:rsidRPr="0031203B">
        <w:t>Ethiopian</w:t>
      </w:r>
      <w:r w:rsidR="00E85F8B">
        <w:t xml:space="preserve"> origin</w:t>
      </w:r>
      <w:r w:rsidR="002E7F08" w:rsidRPr="0031203B">
        <w:t xml:space="preserve">, the </w:t>
      </w:r>
      <w:r w:rsidR="00C10A6F">
        <w:t>average</w:t>
      </w:r>
      <w:r w:rsidR="002E7F08" w:rsidRPr="0031203B">
        <w:t xml:space="preserve"> age at first marriage was </w:t>
      </w:r>
      <w:r w:rsidR="006D0F09">
        <w:t>2</w:t>
      </w:r>
      <w:r w:rsidR="00C10A6F">
        <w:t>7</w:t>
      </w:r>
      <w:r w:rsidR="006D0F09">
        <w:t>.</w:t>
      </w:r>
      <w:r w:rsidR="00C10A6F">
        <w:t>6</w:t>
      </w:r>
      <w:r w:rsidR="002E7F08" w:rsidRPr="0031203B">
        <w:t xml:space="preserve"> (</w:t>
      </w:r>
      <w:r w:rsidR="006D0F09">
        <w:t>1.</w:t>
      </w:r>
      <w:r w:rsidR="00C10A6F">
        <w:t>9</w:t>
      </w:r>
      <w:r w:rsidR="002E7F08" w:rsidRPr="0031203B">
        <w:t xml:space="preserve"> years older than Jewish brides).</w:t>
      </w:r>
    </w:p>
    <w:p w:rsidR="002E7F08" w:rsidRPr="0031203B" w:rsidRDefault="008B4DC8" w:rsidP="00B84738">
      <w:r w:rsidRPr="0031203B">
        <w:t>In</w:t>
      </w:r>
      <w:r w:rsidR="002E7F08" w:rsidRPr="0031203B">
        <w:t xml:space="preserve"> 201</w:t>
      </w:r>
      <w:r w:rsidR="00C10A6F">
        <w:t>8</w:t>
      </w:r>
      <w:r w:rsidR="002E7F08" w:rsidRPr="0031203B">
        <w:t xml:space="preserve">, </w:t>
      </w:r>
      <w:r w:rsidR="006D0F09">
        <w:t>3</w:t>
      </w:r>
      <w:r w:rsidR="00C10A6F">
        <w:t>49</w:t>
      </w:r>
      <w:r w:rsidR="002E7F08" w:rsidRPr="0031203B">
        <w:t xml:space="preserve"> men and </w:t>
      </w:r>
      <w:r w:rsidR="004B39A3">
        <w:t>3</w:t>
      </w:r>
      <w:r w:rsidR="00C10A6F">
        <w:t>65</w:t>
      </w:r>
      <w:r w:rsidR="002E7F08" w:rsidRPr="0031203B">
        <w:t xml:space="preserve"> women of Ethiopian origin divorced.</w:t>
      </w:r>
    </w:p>
    <w:p w:rsidR="002E7F08" w:rsidRPr="0031203B" w:rsidRDefault="002E7F08" w:rsidP="00B84738">
      <w:r w:rsidRPr="0031203B">
        <w:t xml:space="preserve">The divorce </w:t>
      </w:r>
      <w:r w:rsidR="000B62D5" w:rsidRPr="0031203B">
        <w:t xml:space="preserve">rate </w:t>
      </w:r>
      <w:r w:rsidRPr="0031203B">
        <w:t xml:space="preserve">among the </w:t>
      </w:r>
      <w:r w:rsidR="008A1EF4">
        <w:t>population of Ethiopian origin</w:t>
      </w:r>
      <w:r w:rsidRPr="0031203B">
        <w:t xml:space="preserve"> was</w:t>
      </w:r>
      <w:r w:rsidR="008C5422">
        <w:t xml:space="preserve"> </w:t>
      </w:r>
      <w:r w:rsidR="003E7F56">
        <w:t>higher than</w:t>
      </w:r>
      <w:r w:rsidRPr="0031203B">
        <w:t xml:space="preserve"> the</w:t>
      </w:r>
      <w:r w:rsidR="00DC49C0">
        <w:t xml:space="preserve"> divorce</w:t>
      </w:r>
      <w:r w:rsidRPr="0031203B">
        <w:t xml:space="preserve"> rate </w:t>
      </w:r>
      <w:r w:rsidR="00DC49C0">
        <w:t>in</w:t>
      </w:r>
      <w:r w:rsidRPr="0031203B">
        <w:t xml:space="preserve"> the </w:t>
      </w:r>
      <w:r w:rsidR="000B62D5" w:rsidRPr="0031203B">
        <w:t>ove</w:t>
      </w:r>
      <w:r w:rsidRPr="0031203B">
        <w:t>ral</w:t>
      </w:r>
      <w:r w:rsidR="000B62D5" w:rsidRPr="0031203B">
        <w:t>l</w:t>
      </w:r>
      <w:r w:rsidRPr="0031203B">
        <w:t xml:space="preserve"> Jewish population. Approximately 1</w:t>
      </w:r>
      <w:r w:rsidR="003E7F56">
        <w:t>6</w:t>
      </w:r>
      <w:r w:rsidRPr="0031203B">
        <w:t xml:space="preserve"> of every 1,000 married couples divorced, compared with </w:t>
      </w:r>
      <w:r w:rsidR="00651B55">
        <w:t>9</w:t>
      </w:r>
      <w:r w:rsidRPr="0031203B">
        <w:t xml:space="preserve"> of every 1,000 married couple</w:t>
      </w:r>
      <w:r w:rsidR="000B62D5" w:rsidRPr="0031203B">
        <w:t>s</w:t>
      </w:r>
      <w:r w:rsidRPr="0031203B">
        <w:t xml:space="preserve"> </w:t>
      </w:r>
      <w:r w:rsidR="00431B6C">
        <w:t>in</w:t>
      </w:r>
      <w:r w:rsidRPr="0031203B">
        <w:t xml:space="preserve"> the </w:t>
      </w:r>
      <w:r w:rsidR="00A41F80" w:rsidRPr="0031203B">
        <w:t>overall</w:t>
      </w:r>
      <w:r w:rsidRPr="0031203B">
        <w:t xml:space="preserve"> Jewish population.</w:t>
      </w:r>
    </w:p>
    <w:p w:rsidR="000453CB" w:rsidRPr="001C5590" w:rsidRDefault="000453CB" w:rsidP="00975F45">
      <w:pPr>
        <w:pStyle w:val="Heading3"/>
      </w:pPr>
      <w:r w:rsidRPr="001C5590">
        <w:t xml:space="preserve">Live </w:t>
      </w:r>
      <w:r w:rsidR="00CE4F87" w:rsidRPr="001C5590">
        <w:t>Births</w:t>
      </w:r>
    </w:p>
    <w:p w:rsidR="007E07F1" w:rsidRDefault="002E7F08" w:rsidP="00B84738">
      <w:r w:rsidRPr="0031203B">
        <w:t>In 201</w:t>
      </w:r>
      <w:r w:rsidR="00C10A6F">
        <w:t>9</w:t>
      </w:r>
      <w:r w:rsidRPr="0031203B">
        <w:t xml:space="preserve">, </w:t>
      </w:r>
      <w:r w:rsidR="00187B22">
        <w:t>3,9</w:t>
      </w:r>
      <w:r w:rsidR="00C10A6F">
        <w:t>50</w:t>
      </w:r>
      <w:r w:rsidRPr="0031203B">
        <w:t xml:space="preserve"> infants were born to </w:t>
      </w:r>
      <w:r w:rsidR="00FB35A7" w:rsidRPr="00FB35A7">
        <w:t>women of Ethiopian origin</w:t>
      </w:r>
      <w:r w:rsidR="00FB35A7">
        <w:t>. A</w:t>
      </w:r>
      <w:r w:rsidR="008C5422">
        <w:t xml:space="preserve">pproximately </w:t>
      </w:r>
      <w:r w:rsidR="00187B22">
        <w:t>8</w:t>
      </w:r>
      <w:r w:rsidR="00C10A6F">
        <w:t>2</w:t>
      </w:r>
      <w:r w:rsidR="008C5422">
        <w:t>% of these women were born in Ethiopia</w:t>
      </w:r>
      <w:r w:rsidRPr="0031203B">
        <w:t>.</w:t>
      </w:r>
    </w:p>
    <w:p w:rsidR="00D465A6" w:rsidRPr="00D465A6" w:rsidRDefault="00D63BBE" w:rsidP="00B84738">
      <w:pPr>
        <w:rPr>
          <w:sz w:val="28"/>
          <w:highlight w:val="yellow"/>
          <w:rtl/>
        </w:rPr>
      </w:pPr>
      <w:r w:rsidRPr="0031203B">
        <w:t>T</w:t>
      </w:r>
      <w:r w:rsidR="002E7F08" w:rsidRPr="0031203B">
        <w:t xml:space="preserve">hat year, </w:t>
      </w:r>
      <w:r w:rsidRPr="0031203B">
        <w:t>the average number of children</w:t>
      </w:r>
      <w:r w:rsidR="003A31F8" w:rsidRPr="0031203B">
        <w:t xml:space="preserve"> an Ethiopian woman was expected to </w:t>
      </w:r>
      <w:r w:rsidRPr="0031203B">
        <w:t xml:space="preserve">bear during her lifetime was </w:t>
      </w:r>
      <w:r w:rsidR="003A31F8" w:rsidRPr="0031203B">
        <w:t>2.</w:t>
      </w:r>
      <w:r w:rsidR="00651B55">
        <w:t>9</w:t>
      </w:r>
      <w:r w:rsidR="00C10A6F">
        <w:t>2</w:t>
      </w:r>
      <w:r w:rsidR="0097411B">
        <w:t>, as opposed to</w:t>
      </w:r>
      <w:r w:rsidR="00AD0149">
        <w:t xml:space="preserve"> </w:t>
      </w:r>
      <w:r w:rsidR="00C10A6F">
        <w:t>2.97</w:t>
      </w:r>
      <w:r w:rsidR="00FB35A7">
        <w:t xml:space="preserve"> </w:t>
      </w:r>
      <w:r w:rsidR="00B855E9">
        <w:t>in</w:t>
      </w:r>
      <w:r w:rsidRPr="0031203B">
        <w:t xml:space="preserve"> the </w:t>
      </w:r>
      <w:r w:rsidR="00651B55">
        <w:t>Jews and Others</w:t>
      </w:r>
      <w:r w:rsidR="00703A22">
        <w:t xml:space="preserve"> population</w:t>
      </w:r>
      <w:r w:rsidRPr="0031203B">
        <w:t>.</w:t>
      </w:r>
    </w:p>
    <w:p w:rsidR="00FB35A7" w:rsidRDefault="00FB35A7" w:rsidP="00B84738">
      <w:r w:rsidRPr="00FB35A7">
        <w:t>In 201</w:t>
      </w:r>
      <w:r w:rsidR="00C10A6F">
        <w:t>9</w:t>
      </w:r>
      <w:r>
        <w:t>, the age at first birth among women of Ethiopian origin was 2</w:t>
      </w:r>
      <w:r w:rsidR="00C10A6F">
        <w:t>8</w:t>
      </w:r>
      <w:r>
        <w:t>.</w:t>
      </w:r>
      <w:r w:rsidR="00C10A6F">
        <w:t>5</w:t>
      </w:r>
      <w:r>
        <w:t xml:space="preserve"> years on average, compared to 28.</w:t>
      </w:r>
      <w:r w:rsidR="00C10A6F">
        <w:t>7</w:t>
      </w:r>
      <w:r>
        <w:t xml:space="preserve"> years on averag</w:t>
      </w:r>
      <w:r w:rsidR="00C10A6F">
        <w:t>e among Jewish and Other women.</w:t>
      </w:r>
    </w:p>
    <w:p w:rsidR="00EE4EEA" w:rsidRDefault="006946E1" w:rsidP="00B84738">
      <w:r w:rsidRPr="008E02D6">
        <w:t xml:space="preserve">The share of births to never-married mothers of Ethiopian origin – 13.7% </w:t>
      </w:r>
      <w:r w:rsidR="00F959E6" w:rsidRPr="008E02D6">
        <w:t>–</w:t>
      </w:r>
      <w:r w:rsidRPr="008E02D6">
        <w:t xml:space="preserve"> </w:t>
      </w:r>
      <w:r w:rsidR="000C6ECE" w:rsidRPr="008E02D6">
        <w:t>wa</w:t>
      </w:r>
      <w:r w:rsidRPr="008E02D6">
        <w:t>s over tw</w:t>
      </w:r>
      <w:r w:rsidR="000C6ECE" w:rsidRPr="008E02D6">
        <w:t>ice as</w:t>
      </w:r>
      <w:r w:rsidRPr="008E02D6">
        <w:t xml:space="preserve"> high</w:t>
      </w:r>
      <w:r w:rsidR="000C6ECE" w:rsidRPr="008E02D6">
        <w:t xml:space="preserve"> as</w:t>
      </w:r>
      <w:r w:rsidRPr="008E02D6">
        <w:t xml:space="preserve"> the share of births to </w:t>
      </w:r>
      <w:r w:rsidR="00F959E6" w:rsidRPr="008E02D6">
        <w:t xml:space="preserve">never-married mothers in the </w:t>
      </w:r>
      <w:r w:rsidRPr="008E02D6">
        <w:t xml:space="preserve">Jewish and Other </w:t>
      </w:r>
      <w:r w:rsidR="00F959E6" w:rsidRPr="008E02D6">
        <w:t>group</w:t>
      </w:r>
      <w:r w:rsidR="00E941B9" w:rsidRPr="008E02D6">
        <w:t xml:space="preserve"> – 6.5%.</w:t>
      </w:r>
      <w:r w:rsidRPr="008E02D6">
        <w:t xml:space="preserve"> The average age of never-married Ethiopian mothers bearing their first child was younger than th</w:t>
      </w:r>
      <w:r w:rsidR="00E941B9" w:rsidRPr="008E02D6">
        <w:t>at of Jewish and Other mothers – 27.4 versus 32.2, respectively.</w:t>
      </w:r>
    </w:p>
    <w:p w:rsidR="000453CB" w:rsidRPr="000F495A" w:rsidRDefault="000453CB" w:rsidP="000F495A">
      <w:pPr>
        <w:pStyle w:val="Heading2"/>
      </w:pPr>
      <w:r w:rsidRPr="001C5590">
        <w:t xml:space="preserve">Ethiopian </w:t>
      </w:r>
      <w:r w:rsidR="00CE4F87" w:rsidRPr="001C5590">
        <w:t>Households</w:t>
      </w:r>
      <w:r w:rsidRPr="00B9477A">
        <w:rPr>
          <w:rStyle w:val="FootnoteReference"/>
          <w:b w:val="0"/>
          <w:bCs w:val="0"/>
          <w:szCs w:val="24"/>
        </w:rPr>
        <w:footnoteReference w:id="7"/>
      </w:r>
    </w:p>
    <w:p w:rsidR="000453CB" w:rsidRPr="001C5590" w:rsidRDefault="000453CB" w:rsidP="00975F45">
      <w:pPr>
        <w:pStyle w:val="Heading3"/>
      </w:pPr>
      <w:r w:rsidRPr="001C5590">
        <w:t>Households</w:t>
      </w:r>
      <w:r w:rsidRPr="008129C7">
        <w:rPr>
          <w:rStyle w:val="FootnoteReference"/>
          <w:b w:val="0"/>
          <w:bCs/>
          <w:szCs w:val="24"/>
        </w:rPr>
        <w:footnoteReference w:id="8"/>
      </w:r>
    </w:p>
    <w:p w:rsidR="00CE4F87" w:rsidRPr="0031203B" w:rsidRDefault="0039594B" w:rsidP="00B84738">
      <w:r>
        <w:t>The average number of</w:t>
      </w:r>
      <w:r w:rsidRPr="0039594B">
        <w:t xml:space="preserve"> </w:t>
      </w:r>
      <w:r w:rsidRPr="00BD3FF0">
        <w:t>household</w:t>
      </w:r>
      <w:r>
        <w:t xml:space="preserve">s </w:t>
      </w:r>
      <w:r w:rsidR="007466F6">
        <w:t xml:space="preserve">consisting </w:t>
      </w:r>
      <w:r>
        <w:t>of persons of</w:t>
      </w:r>
      <w:r w:rsidRPr="00BD3FF0">
        <w:t xml:space="preserve"> Ethiopian </w:t>
      </w:r>
      <w:r>
        <w:t>origin</w:t>
      </w:r>
      <w:r w:rsidR="00D63BBE" w:rsidRPr="0031203B">
        <w:t xml:space="preserve"> in Israel in 201</w:t>
      </w:r>
      <w:r w:rsidR="00C10A6F">
        <w:t>7</w:t>
      </w:r>
      <w:r w:rsidR="00385DD9">
        <w:t>–</w:t>
      </w:r>
      <w:r w:rsidR="00D63BBE" w:rsidRPr="0031203B">
        <w:t>201</w:t>
      </w:r>
      <w:r w:rsidR="00C10A6F">
        <w:t>9</w:t>
      </w:r>
      <w:r w:rsidR="00D63BBE" w:rsidRPr="0031203B">
        <w:t xml:space="preserve"> was</w:t>
      </w:r>
      <w:r w:rsidR="00CE4F87" w:rsidRPr="0031203B">
        <w:t xml:space="preserve"> </w:t>
      </w:r>
      <w:r w:rsidR="00D63BBE" w:rsidRPr="0031203B">
        <w:t>3</w:t>
      </w:r>
      <w:r w:rsidR="00C10A6F">
        <w:t>8</w:t>
      </w:r>
      <w:r w:rsidR="00CE4F87" w:rsidRPr="0031203B">
        <w:t>,</w:t>
      </w:r>
      <w:r w:rsidR="00C10A6F">
        <w:t>2</w:t>
      </w:r>
      <w:r w:rsidR="00CE4F87" w:rsidRPr="0031203B">
        <w:t>00,</w:t>
      </w:r>
      <w:r w:rsidR="007466F6">
        <w:t xml:space="preserve"> accounting for</w:t>
      </w:r>
      <w:r w:rsidR="00CE4F87" w:rsidRPr="0031203B">
        <w:t xml:space="preserve"> approximately 1.</w:t>
      </w:r>
      <w:r w:rsidR="00891919">
        <w:t>4</w:t>
      </w:r>
      <w:r w:rsidR="00CE4F87" w:rsidRPr="0031203B">
        <w:t>% of all Israeli households and approximately 1.</w:t>
      </w:r>
      <w:r w:rsidR="00D63BBE" w:rsidRPr="0031203B">
        <w:t>7</w:t>
      </w:r>
      <w:r w:rsidR="00CE4F87" w:rsidRPr="0031203B">
        <w:t xml:space="preserve">% of </w:t>
      </w:r>
      <w:r w:rsidR="00D63BBE" w:rsidRPr="0031203B">
        <w:t xml:space="preserve">the households of </w:t>
      </w:r>
      <w:r w:rsidR="00CE4F87" w:rsidRPr="0031203B">
        <w:t>Jews and Others</w:t>
      </w:r>
      <w:r w:rsidR="00D21BC4">
        <w:t>, similar to previous years</w:t>
      </w:r>
      <w:r w:rsidR="00CE4F87" w:rsidRPr="0031203B">
        <w:t>.</w:t>
      </w:r>
    </w:p>
    <w:p w:rsidR="00092B9C" w:rsidRDefault="000C2779" w:rsidP="00B84738">
      <w:r>
        <w:t>As in</w:t>
      </w:r>
      <w:r w:rsidR="00D63BBE" w:rsidRPr="0031203B">
        <w:t xml:space="preserve"> the overall Jewish population, approximately </w:t>
      </w:r>
      <w:r w:rsidR="00076BE3">
        <w:t>8</w:t>
      </w:r>
      <w:r w:rsidR="00C10A6F">
        <w:t>3</w:t>
      </w:r>
      <w:r w:rsidR="00092B9C" w:rsidRPr="0031203B">
        <w:t>% of the</w:t>
      </w:r>
      <w:r w:rsidR="00D63BBE" w:rsidRPr="0031203B">
        <w:t xml:space="preserve"> </w:t>
      </w:r>
      <w:r w:rsidR="0039594B" w:rsidRPr="00BD3FF0">
        <w:t>household</w:t>
      </w:r>
      <w:r w:rsidR="007466F6">
        <w:t>s</w:t>
      </w:r>
      <w:r w:rsidR="0039594B">
        <w:t xml:space="preserve"> of</w:t>
      </w:r>
      <w:r w:rsidR="0039594B" w:rsidRPr="00BD3FF0">
        <w:t xml:space="preserve"> Ethiopian </w:t>
      </w:r>
      <w:r w:rsidR="0039594B">
        <w:t>origin</w:t>
      </w:r>
      <w:r w:rsidR="00D63BBE" w:rsidRPr="0031203B">
        <w:t xml:space="preserve"> were </w:t>
      </w:r>
      <w:r w:rsidR="00092B9C" w:rsidRPr="0031203B">
        <w:t>family households</w:t>
      </w:r>
      <w:r w:rsidR="006A23E2">
        <w:t>.</w:t>
      </w:r>
      <w:r w:rsidR="00092B9C" w:rsidRPr="0031203B">
        <w:rPr>
          <w:rStyle w:val="FootnoteReference"/>
          <w:szCs w:val="24"/>
        </w:rPr>
        <w:footnoteReference w:id="9"/>
      </w:r>
      <w:r w:rsidR="00076BE3">
        <w:t xml:space="preserve"> Of those, approximately </w:t>
      </w:r>
      <w:r w:rsidR="00C10A6F">
        <w:t>93</w:t>
      </w:r>
      <w:r w:rsidR="00092B9C" w:rsidRPr="0031203B">
        <w:t xml:space="preserve">% </w:t>
      </w:r>
      <w:r w:rsidR="003270DD" w:rsidRPr="0031203B">
        <w:t>consisted of</w:t>
      </w:r>
      <w:r w:rsidR="00092B9C" w:rsidRPr="0031203B">
        <w:t xml:space="preserve"> only one family.</w:t>
      </w:r>
      <w:r w:rsidR="00E5025B">
        <w:t xml:space="preserve"> </w:t>
      </w:r>
      <w:r w:rsidR="00BA1698" w:rsidRPr="00BA1698">
        <w:t xml:space="preserve">However, the relative </w:t>
      </w:r>
      <w:r w:rsidR="00E55474">
        <w:t>proportion</w:t>
      </w:r>
      <w:r w:rsidR="00BA1698" w:rsidRPr="00BA1698">
        <w:t xml:space="preserve"> of households of one family with </w:t>
      </w:r>
      <w:r w:rsidR="00C57A41">
        <w:t>others or two or more families wa</w:t>
      </w:r>
      <w:r w:rsidR="00BA1698" w:rsidRPr="00BA1698">
        <w:t xml:space="preserve">s slightly higher in </w:t>
      </w:r>
      <w:r w:rsidR="0039594B" w:rsidRPr="00BD3FF0">
        <w:t>household</w:t>
      </w:r>
      <w:r w:rsidR="0039594B">
        <w:t xml:space="preserve">s of </w:t>
      </w:r>
      <w:r w:rsidR="0039594B" w:rsidRPr="00BD3FF0">
        <w:t xml:space="preserve">Ethiopian </w:t>
      </w:r>
      <w:r w:rsidR="0039594B">
        <w:t>origin</w:t>
      </w:r>
      <w:r w:rsidR="00BA1698" w:rsidRPr="00BA1698">
        <w:t xml:space="preserve"> than </w:t>
      </w:r>
      <w:r w:rsidR="00B93F86">
        <w:t xml:space="preserve">it was </w:t>
      </w:r>
      <w:r w:rsidR="00BA1698" w:rsidRPr="00BA1698">
        <w:t xml:space="preserve">among Jewish and </w:t>
      </w:r>
      <w:r w:rsidR="004E43CD">
        <w:t>O</w:t>
      </w:r>
      <w:r w:rsidR="004E43CD" w:rsidRPr="00BA1698">
        <w:t xml:space="preserve">ther </w:t>
      </w:r>
      <w:r w:rsidR="00BA1698" w:rsidRPr="00BA1698">
        <w:t xml:space="preserve">households (about </w:t>
      </w:r>
      <w:r w:rsidR="00C10A6F">
        <w:t>7</w:t>
      </w:r>
      <w:r w:rsidR="00BA1698" w:rsidRPr="00BA1698">
        <w:t>% and 4%, respectively).</w:t>
      </w:r>
      <w:r w:rsidR="00302BD0">
        <w:t xml:space="preserve"> </w:t>
      </w:r>
      <w:r w:rsidR="00092B9C" w:rsidRPr="0031203B">
        <w:t xml:space="preserve">The average size of </w:t>
      </w:r>
      <w:r w:rsidR="0039594B" w:rsidRPr="00BD3FF0">
        <w:t>household</w:t>
      </w:r>
      <w:r w:rsidR="0039594B">
        <w:t xml:space="preserve">s of </w:t>
      </w:r>
      <w:r w:rsidR="0039594B" w:rsidRPr="00BD3FF0">
        <w:t xml:space="preserve">Ethiopian </w:t>
      </w:r>
      <w:r w:rsidR="0039594B">
        <w:t>origin</w:t>
      </w:r>
      <w:r w:rsidR="00092B9C" w:rsidRPr="0031203B">
        <w:t xml:space="preserve"> was </w:t>
      </w:r>
      <w:r w:rsidR="00F2610B">
        <w:t>3.</w:t>
      </w:r>
      <w:r w:rsidR="00E7124E">
        <w:t>8</w:t>
      </w:r>
      <w:r w:rsidR="00C10A6F">
        <w:t>2</w:t>
      </w:r>
      <w:r w:rsidR="00092B9C" w:rsidRPr="0031203B">
        <w:t xml:space="preserve"> persons </w:t>
      </w:r>
      <w:r w:rsidR="00BF2915">
        <w:t>–</w:t>
      </w:r>
      <w:r w:rsidR="00092B9C" w:rsidRPr="0031203B">
        <w:t xml:space="preserve"> larger than the size of households </w:t>
      </w:r>
      <w:r w:rsidR="00F2610B">
        <w:t>of Jews and Others (3.</w:t>
      </w:r>
      <w:r w:rsidR="00FC62AE">
        <w:t>0</w:t>
      </w:r>
      <w:r w:rsidR="00C10A6F">
        <w:t>3</w:t>
      </w:r>
      <w:r w:rsidR="00092B9C" w:rsidRPr="0031203B">
        <w:t>).</w:t>
      </w:r>
    </w:p>
    <w:p w:rsidR="00C10A6F" w:rsidRPr="00E941B9" w:rsidRDefault="00E941B9" w:rsidP="00B84738">
      <w:r w:rsidRPr="00357B48">
        <w:t xml:space="preserve">Approximately 17% of the households of </w:t>
      </w:r>
      <w:r w:rsidR="00357B48" w:rsidRPr="00357B48">
        <w:t xml:space="preserve">persons of </w:t>
      </w:r>
      <w:r w:rsidRPr="00357B48">
        <w:t>Ethiopian origin were non-family households, an</w:t>
      </w:r>
      <w:r w:rsidR="008B7A22" w:rsidRPr="00357B48">
        <w:t>d</w:t>
      </w:r>
      <w:r w:rsidRPr="00357B48">
        <w:t xml:space="preserve"> most of them (about 87%) </w:t>
      </w:r>
      <w:r w:rsidR="00FF1F24" w:rsidRPr="00357B48">
        <w:t>consisted of</w:t>
      </w:r>
      <w:r w:rsidRPr="00357B48">
        <w:t xml:space="preserve"> one</w:t>
      </w:r>
      <w:r w:rsidR="00FF1F24" w:rsidRPr="00357B48">
        <w:t xml:space="preserve"> </w:t>
      </w:r>
      <w:r w:rsidRPr="00357B48">
        <w:t>person</w:t>
      </w:r>
      <w:r w:rsidR="00357B48" w:rsidRPr="00357B48">
        <w:t xml:space="preserve"> </w:t>
      </w:r>
      <w:r w:rsidR="001968A9">
        <w:t>who lived</w:t>
      </w:r>
      <w:r w:rsidR="00357B48" w:rsidRPr="00357B48">
        <w:t xml:space="preserve"> alone</w:t>
      </w:r>
      <w:r w:rsidRPr="00357B48">
        <w:t>.</w:t>
      </w:r>
    </w:p>
    <w:p w:rsidR="006500C8" w:rsidRPr="0031203B" w:rsidRDefault="006500C8" w:rsidP="00975F45">
      <w:pPr>
        <w:pStyle w:val="Heading3"/>
      </w:pPr>
      <w:r w:rsidRPr="0031203B">
        <w:t>Families</w:t>
      </w:r>
      <w:r w:rsidRPr="00A943C6">
        <w:rPr>
          <w:rStyle w:val="FootnoteReference"/>
          <w:b w:val="0"/>
          <w:bCs/>
          <w:szCs w:val="24"/>
        </w:rPr>
        <w:footnoteReference w:id="10"/>
      </w:r>
    </w:p>
    <w:p w:rsidR="00ED5245" w:rsidRPr="0031203B" w:rsidRDefault="00ED5245" w:rsidP="00B84738">
      <w:r w:rsidRPr="0031203B">
        <w:t xml:space="preserve">In Israel, </w:t>
      </w:r>
      <w:r w:rsidR="00E5025B">
        <w:t xml:space="preserve">there are </w:t>
      </w:r>
      <w:r w:rsidRPr="0031203B">
        <w:t>approximately 3</w:t>
      </w:r>
      <w:r w:rsidR="00212BBD">
        <w:t>2</w:t>
      </w:r>
      <w:r w:rsidRPr="0031203B">
        <w:t>,</w:t>
      </w:r>
      <w:r w:rsidR="00212BBD">
        <w:t>4</w:t>
      </w:r>
      <w:r w:rsidRPr="0031203B">
        <w:t xml:space="preserve">00 </w:t>
      </w:r>
      <w:r w:rsidR="0039594B" w:rsidRPr="0031203B">
        <w:t xml:space="preserve">families </w:t>
      </w:r>
      <w:r w:rsidR="007466F6">
        <w:t xml:space="preserve">of </w:t>
      </w:r>
      <w:r w:rsidRPr="0031203B">
        <w:t xml:space="preserve">Ethiopian </w:t>
      </w:r>
      <w:r w:rsidR="007466F6">
        <w:t>origin</w:t>
      </w:r>
      <w:r w:rsidR="00E5025B">
        <w:t>. More than half</w:t>
      </w:r>
      <w:r w:rsidRPr="0031203B">
        <w:t xml:space="preserve"> have a traditional structure, consisting of a couple</w:t>
      </w:r>
      <w:r w:rsidR="00F2610B">
        <w:t xml:space="preserve"> with children </w:t>
      </w:r>
      <w:r w:rsidR="00E7124E">
        <w:t xml:space="preserve">of all ages </w:t>
      </w:r>
      <w:r w:rsidR="00F2610B">
        <w:t>(approximately 6</w:t>
      </w:r>
      <w:r w:rsidR="001D627A">
        <w:t>1</w:t>
      </w:r>
      <w:r w:rsidR="007466F6">
        <w:t>%). This</w:t>
      </w:r>
      <w:r w:rsidR="00CA74D9">
        <w:t xml:space="preserve"> percentage</w:t>
      </w:r>
      <w:r w:rsidR="007466F6">
        <w:t xml:space="preserve"> is</w:t>
      </w:r>
      <w:r w:rsidR="00C57A41">
        <w:t xml:space="preserve"> </w:t>
      </w:r>
      <w:r w:rsidR="00CA74D9">
        <w:t>similar to that of</w:t>
      </w:r>
      <w:r w:rsidR="007466F6">
        <w:t xml:space="preserve"> families of Jews and Others (5</w:t>
      </w:r>
      <w:r w:rsidR="00212BBD">
        <w:t>7</w:t>
      </w:r>
      <w:r w:rsidR="007466F6">
        <w:t>%).</w:t>
      </w:r>
    </w:p>
    <w:p w:rsidR="00ED5245" w:rsidRPr="0031203B" w:rsidRDefault="00C24862" w:rsidP="00B84738">
      <w:r w:rsidRPr="0031203B">
        <w:t xml:space="preserve">The percentage of couples without children among </w:t>
      </w:r>
      <w:r w:rsidR="007466F6" w:rsidRPr="0031203B">
        <w:t xml:space="preserve">families </w:t>
      </w:r>
      <w:r w:rsidR="007466F6">
        <w:t xml:space="preserve">of </w:t>
      </w:r>
      <w:r w:rsidRPr="0031203B">
        <w:t xml:space="preserve">Ethiopian </w:t>
      </w:r>
      <w:r w:rsidR="007466F6">
        <w:t>origin</w:t>
      </w:r>
      <w:r w:rsidR="009E76ED">
        <w:t xml:space="preserve"> was the lowest</w:t>
      </w:r>
      <w:r w:rsidR="007466F6">
        <w:t xml:space="preserve"> </w:t>
      </w:r>
      <w:r w:rsidRPr="0031203B">
        <w:t xml:space="preserve">(approximately </w:t>
      </w:r>
      <w:r w:rsidR="003A5B7D">
        <w:rPr>
          <w:rFonts w:hint="cs"/>
          <w:rtl/>
        </w:rPr>
        <w:t>1</w:t>
      </w:r>
      <w:r w:rsidR="00212BBD">
        <w:t>2</w:t>
      </w:r>
      <w:r w:rsidRPr="0031203B">
        <w:t>%)</w:t>
      </w:r>
      <w:r w:rsidR="009E76ED">
        <w:t>:</w:t>
      </w:r>
      <w:r w:rsidRPr="0031203B">
        <w:t xml:space="preserve"> lower than the percentage among families of J</w:t>
      </w:r>
      <w:r w:rsidR="00BB511E">
        <w:t>ews and Others (approximately 2</w:t>
      </w:r>
      <w:r w:rsidR="00212BBD">
        <w:t>9</w:t>
      </w:r>
      <w:r w:rsidRPr="0031203B">
        <w:t>%)</w:t>
      </w:r>
      <w:r w:rsidR="003A5B7D" w:rsidRPr="0031203B">
        <w:t>.</w:t>
      </w:r>
      <w:r w:rsidR="00805613">
        <w:t xml:space="preserve"> It should be noted that the couples of Ethiopian origin without children are relatively young, so </w:t>
      </w:r>
      <w:r w:rsidR="007A59A9">
        <w:t xml:space="preserve">they may </w:t>
      </w:r>
      <w:r w:rsidR="00805613">
        <w:t>not ha</w:t>
      </w:r>
      <w:r w:rsidR="00F570D1">
        <w:t>ve had</w:t>
      </w:r>
      <w:r w:rsidR="00805613">
        <w:t xml:space="preserve"> children yet. This is in comparison to couples without children in </w:t>
      </w:r>
      <w:r w:rsidR="00212BBD">
        <w:t>families of Jews and Others</w:t>
      </w:r>
      <w:r w:rsidR="00805613">
        <w:t>, which include older couples whose children have left home.</w:t>
      </w:r>
    </w:p>
    <w:p w:rsidR="00C24862" w:rsidRPr="0031203B" w:rsidRDefault="00C24862" w:rsidP="00B84738">
      <w:r w:rsidRPr="0031203B">
        <w:t xml:space="preserve">The percentage of </w:t>
      </w:r>
      <w:r w:rsidR="005623A7">
        <w:t>lone</w:t>
      </w:r>
      <w:r w:rsidRPr="0031203B">
        <w:t xml:space="preserve">-parent families in the </w:t>
      </w:r>
      <w:r w:rsidR="008A1EF4">
        <w:t>population of Ethiopian origin</w:t>
      </w:r>
      <w:r w:rsidRPr="0031203B">
        <w:t xml:space="preserve"> was especially high (approximately 2</w:t>
      </w:r>
      <w:r w:rsidR="00E16FD7">
        <w:t>5</w:t>
      </w:r>
      <w:r w:rsidRPr="0031203B">
        <w:t xml:space="preserve">%) </w:t>
      </w:r>
      <w:r w:rsidR="00FB15A9">
        <w:t>–</w:t>
      </w:r>
      <w:r w:rsidRPr="0031203B">
        <w:t xml:space="preserve"> </w:t>
      </w:r>
      <w:r w:rsidR="00DB398F">
        <w:t>more than</w:t>
      </w:r>
      <w:r w:rsidRPr="0031203B">
        <w:t xml:space="preserve"> twice as high as the percentage of </w:t>
      </w:r>
      <w:r w:rsidR="005623A7">
        <w:t>lone</w:t>
      </w:r>
      <w:r w:rsidRPr="0031203B">
        <w:t>-parent families among families of Jews and Others</w:t>
      </w:r>
      <w:r w:rsidR="001E1DB4">
        <w:t xml:space="preserve"> (approximately 1</w:t>
      </w:r>
      <w:r w:rsidR="00B76D9A">
        <w:t>3</w:t>
      </w:r>
      <w:r w:rsidR="001E1DB4" w:rsidRPr="0031203B">
        <w:t>%)</w:t>
      </w:r>
      <w:r w:rsidRPr="0031203B">
        <w:t>.</w:t>
      </w:r>
    </w:p>
    <w:p w:rsidR="00E16FD7" w:rsidRDefault="00E16FD7" w:rsidP="00F8092C">
      <w:pPr>
        <w:pStyle w:val="diagramhead"/>
        <w:spacing w:before="0" w:after="0"/>
      </w:pPr>
      <w:r w:rsidRPr="00E16FD7">
        <w:t>Diagram 4</w:t>
      </w:r>
      <w:r w:rsidR="00E754C3">
        <w:t xml:space="preserve"> -</w:t>
      </w:r>
      <w:r w:rsidRPr="00E16FD7">
        <w:t xml:space="preserve"> Families, by Type of Family, 2019</w:t>
      </w:r>
    </w:p>
    <w:p w:rsidR="00E16FD7" w:rsidRPr="00E16FD7" w:rsidRDefault="00E16FD7" w:rsidP="00C21133">
      <w:pPr>
        <w:pStyle w:val="diagram"/>
      </w:pPr>
      <w:r>
        <w:rPr>
          <w:noProof/>
          <w:lang w:eastAsia="en-US"/>
        </w:rPr>
        <w:drawing>
          <wp:inline distT="0" distB="0" distL="0" distR="0" wp14:anchorId="71191FF8" wp14:editId="6BEC6A5F">
            <wp:extent cx="5273941" cy="2984740"/>
            <wp:effectExtent l="0" t="0" r="3175" b="6350"/>
            <wp:docPr id="12" name="Picture 12" descr="Diagram 4 - Families, by Type of Family, 2019" title="Diagram 4 - Families, by Type of Family,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3049" cy="2984235"/>
                    </a:xfrm>
                    <a:prstGeom prst="rect">
                      <a:avLst/>
                    </a:prstGeom>
                    <a:noFill/>
                  </pic:spPr>
                </pic:pic>
              </a:graphicData>
            </a:graphic>
          </wp:inline>
        </w:drawing>
      </w:r>
    </w:p>
    <w:p w:rsidR="00CE4F87" w:rsidRPr="001C5590" w:rsidRDefault="004E43CD" w:rsidP="000F495A">
      <w:pPr>
        <w:pStyle w:val="Heading2"/>
      </w:pPr>
      <w:r>
        <w:t>Students</w:t>
      </w:r>
      <w:r w:rsidRPr="001C5590">
        <w:t xml:space="preserve"> </w:t>
      </w:r>
      <w:r w:rsidR="00CE4F87" w:rsidRPr="001C5590">
        <w:t>in the Education System</w:t>
      </w:r>
    </w:p>
    <w:p w:rsidR="00CE4F87" w:rsidRPr="0031203B" w:rsidRDefault="00CE4F87" w:rsidP="00B84738">
      <w:r w:rsidRPr="0031203B">
        <w:t>In the 201</w:t>
      </w:r>
      <w:r w:rsidR="00035800">
        <w:t>8</w:t>
      </w:r>
      <w:r w:rsidRPr="0031203B">
        <w:t>/1</w:t>
      </w:r>
      <w:r w:rsidR="00035800">
        <w:t>9</w:t>
      </w:r>
      <w:r w:rsidR="00C24862" w:rsidRPr="0031203B">
        <w:t xml:space="preserve"> school year</w:t>
      </w:r>
      <w:r w:rsidRPr="0031203B">
        <w:t xml:space="preserve">, </w:t>
      </w:r>
      <w:r w:rsidR="000275EF">
        <w:t>3</w:t>
      </w:r>
      <w:r w:rsidR="00035800">
        <w:t>1</w:t>
      </w:r>
      <w:r w:rsidR="000275EF">
        <w:t>,</w:t>
      </w:r>
      <w:r w:rsidR="00035800">
        <w:t>890</w:t>
      </w:r>
      <w:r w:rsidRPr="0031203B">
        <w:t xml:space="preserve"> </w:t>
      </w:r>
      <w:r w:rsidR="00AF6397">
        <w:t>students</w:t>
      </w:r>
      <w:r w:rsidR="00AF6397" w:rsidRPr="0031203B">
        <w:t xml:space="preserve"> </w:t>
      </w:r>
      <w:r w:rsidR="007D3990">
        <w:t xml:space="preserve">of </w:t>
      </w:r>
      <w:r w:rsidRPr="0031203B">
        <w:t>Ethiopian</w:t>
      </w:r>
      <w:r w:rsidR="007D3990">
        <w:t xml:space="preserve"> origin</w:t>
      </w:r>
      <w:r w:rsidRPr="0031203B">
        <w:t xml:space="preserve"> </w:t>
      </w:r>
      <w:r w:rsidR="00C24862" w:rsidRPr="0031203B">
        <w:t xml:space="preserve">were enrolled </w:t>
      </w:r>
      <w:r w:rsidRPr="0031203B">
        <w:t>in primary and secondary education</w:t>
      </w:r>
      <w:r w:rsidR="00C540CA">
        <w:t>, comprising</w:t>
      </w:r>
      <w:r w:rsidRPr="0031203B">
        <w:t xml:space="preserve"> 2.</w:t>
      </w:r>
      <w:r w:rsidR="000275EF">
        <w:t>4</w:t>
      </w:r>
      <w:r w:rsidRPr="0031203B">
        <w:t xml:space="preserve">% of </w:t>
      </w:r>
      <w:r w:rsidR="00C24862" w:rsidRPr="0031203B">
        <w:t>all</w:t>
      </w:r>
      <w:r w:rsidRPr="0031203B">
        <w:t xml:space="preserve"> </w:t>
      </w:r>
      <w:r w:rsidR="00AF6397">
        <w:t>students</w:t>
      </w:r>
      <w:r w:rsidRPr="0031203B">
        <w:t xml:space="preserve"> in the Hebrew education sector.</w:t>
      </w:r>
    </w:p>
    <w:p w:rsidR="00CE4F87" w:rsidRDefault="00101A63" w:rsidP="00B84738">
      <w:r w:rsidRPr="0031203B">
        <w:t>In the 201</w:t>
      </w:r>
      <w:r w:rsidR="00035800">
        <w:t>8</w:t>
      </w:r>
      <w:r w:rsidRPr="0031203B">
        <w:t>/1</w:t>
      </w:r>
      <w:r w:rsidR="00035800">
        <w:t>9</w:t>
      </w:r>
      <w:r w:rsidR="006A1A63" w:rsidRPr="0031203B">
        <w:t xml:space="preserve"> school year</w:t>
      </w:r>
      <w:r w:rsidRPr="0031203B">
        <w:t xml:space="preserve">, </w:t>
      </w:r>
      <w:r w:rsidR="000275EF">
        <w:t>2</w:t>
      </w:r>
      <w:r w:rsidR="00035800">
        <w:t>3</w:t>
      </w:r>
      <w:r w:rsidR="000275EF">
        <w:t>.</w:t>
      </w:r>
      <w:r w:rsidR="00035800">
        <w:t>9</w:t>
      </w:r>
      <w:r w:rsidRPr="0031203B">
        <w:t xml:space="preserve">% of the </w:t>
      </w:r>
      <w:r w:rsidR="00AF6397">
        <w:t>students</w:t>
      </w:r>
      <w:r w:rsidR="007D3990">
        <w:t xml:space="preserve"> of </w:t>
      </w:r>
      <w:r w:rsidR="007D3990" w:rsidRPr="0031203B">
        <w:t>Ethiopian</w:t>
      </w:r>
      <w:r w:rsidR="007D3990">
        <w:t xml:space="preserve"> origin</w:t>
      </w:r>
      <w:r w:rsidRPr="0031203B">
        <w:t xml:space="preserve"> were born in Ethiopia, compared to </w:t>
      </w:r>
      <w:r w:rsidR="00020B24">
        <w:t>42</w:t>
      </w:r>
      <w:r w:rsidR="000275EF">
        <w:t>.</w:t>
      </w:r>
      <w:r w:rsidR="00035800">
        <w:t>0</w:t>
      </w:r>
      <w:r w:rsidRPr="0031203B">
        <w:t>% in the 200</w:t>
      </w:r>
      <w:r w:rsidR="00035800">
        <w:t>8</w:t>
      </w:r>
      <w:r w:rsidRPr="0031203B">
        <w:t>/0</w:t>
      </w:r>
      <w:r w:rsidR="00035800">
        <w:t>9</w:t>
      </w:r>
      <w:r w:rsidR="006A1A63" w:rsidRPr="0031203B">
        <w:t xml:space="preserve"> school year</w:t>
      </w:r>
      <w:r w:rsidR="00413D69">
        <w:t xml:space="preserve"> (Diagram </w:t>
      </w:r>
      <w:r w:rsidR="00035800">
        <w:t>5</w:t>
      </w:r>
      <w:r w:rsidR="00413D69">
        <w:t>)</w:t>
      </w:r>
      <w:r w:rsidRPr="0031203B">
        <w:t>.</w:t>
      </w:r>
    </w:p>
    <w:p w:rsidR="00BC48F6" w:rsidRPr="00B84738" w:rsidRDefault="00BC48F6" w:rsidP="00B84738">
      <w:pPr>
        <w:jc w:val="center"/>
        <w:rPr>
          <w:b/>
          <w:bCs/>
        </w:rPr>
      </w:pPr>
      <w:r w:rsidRPr="00B84738">
        <w:rPr>
          <w:b/>
          <w:bCs/>
        </w:rPr>
        <w:t xml:space="preserve">Diagram </w:t>
      </w:r>
      <w:r w:rsidR="00035800" w:rsidRPr="00B84738">
        <w:rPr>
          <w:b/>
          <w:bCs/>
        </w:rPr>
        <w:t>5</w:t>
      </w:r>
      <w:r w:rsidR="00641C45" w:rsidRPr="00B84738">
        <w:rPr>
          <w:b/>
          <w:bCs/>
        </w:rPr>
        <w:t xml:space="preserve"> -</w:t>
      </w:r>
      <w:r w:rsidRPr="00B84738">
        <w:rPr>
          <w:b/>
          <w:bCs/>
        </w:rPr>
        <w:t xml:space="preserve"> </w:t>
      </w:r>
      <w:r w:rsidR="00AF6397" w:rsidRPr="00B84738">
        <w:rPr>
          <w:b/>
          <w:bCs/>
        </w:rPr>
        <w:t>Students</w:t>
      </w:r>
      <w:r w:rsidR="00882F05" w:rsidRPr="00B84738">
        <w:rPr>
          <w:b/>
          <w:bCs/>
        </w:rPr>
        <w:t xml:space="preserve"> of Ethiopian Origin, by Place of Birth, Selected Years</w:t>
      </w:r>
    </w:p>
    <w:p w:rsidR="00BC48F6" w:rsidRDefault="00641C45" w:rsidP="00C21133">
      <w:pPr>
        <w:pStyle w:val="diagram"/>
      </w:pPr>
      <w:r>
        <w:rPr>
          <w:noProof/>
          <w:lang w:eastAsia="en-US"/>
        </w:rPr>
        <w:drawing>
          <wp:inline distT="0" distB="0" distL="0" distR="0" wp14:anchorId="67B9B353" wp14:editId="5A2157E2">
            <wp:extent cx="5041127" cy="3252572"/>
            <wp:effectExtent l="0" t="0" r="7620" b="5080"/>
            <wp:docPr id="4" name="Picture 4" descr="Diagram 5 - Students of Ethiopian Origin, by Place of Birth, Selected Years" title="Diagram 5 - Students of Ethiopian Origin, by Place of Birth, Selected 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48439" cy="3257290"/>
                    </a:xfrm>
                    <a:prstGeom prst="rect">
                      <a:avLst/>
                    </a:prstGeom>
                    <a:noFill/>
                  </pic:spPr>
                </pic:pic>
              </a:graphicData>
            </a:graphic>
          </wp:inline>
        </w:drawing>
      </w:r>
    </w:p>
    <w:p w:rsidR="00101A63" w:rsidRDefault="00101A63" w:rsidP="004D53EE">
      <w:r w:rsidRPr="0031203B">
        <w:t>In the 201</w:t>
      </w:r>
      <w:r w:rsidR="00F972F1">
        <w:t>8</w:t>
      </w:r>
      <w:r w:rsidRPr="0031203B">
        <w:t>/1</w:t>
      </w:r>
      <w:r w:rsidR="00F972F1">
        <w:t>9</w:t>
      </w:r>
      <w:r w:rsidR="00531A9F" w:rsidRPr="0031203B">
        <w:t xml:space="preserve"> school year</w:t>
      </w:r>
      <w:r w:rsidRPr="0031203B">
        <w:t xml:space="preserve">, </w:t>
      </w:r>
      <w:r w:rsidR="00072E49">
        <w:t>about</w:t>
      </w:r>
      <w:r w:rsidR="003E2232">
        <w:t xml:space="preserve"> 4</w:t>
      </w:r>
      <w:r w:rsidR="00F972F1">
        <w:t>2.9</w:t>
      </w:r>
      <w:r w:rsidRPr="0031203B">
        <w:t xml:space="preserve">% of the </w:t>
      </w:r>
      <w:r w:rsidR="00AF6397">
        <w:t>students</w:t>
      </w:r>
      <w:r w:rsidR="007D3990" w:rsidRPr="0031203B">
        <w:t xml:space="preserve"> </w:t>
      </w:r>
      <w:r w:rsidR="007D3990">
        <w:t xml:space="preserve">of </w:t>
      </w:r>
      <w:r w:rsidRPr="0057340E">
        <w:t>Ethiopian</w:t>
      </w:r>
      <w:r w:rsidRPr="0031203B">
        <w:t xml:space="preserve"> </w:t>
      </w:r>
      <w:r w:rsidR="007D3990">
        <w:t xml:space="preserve">origin </w:t>
      </w:r>
      <w:r w:rsidR="00531A9F" w:rsidRPr="0031203B">
        <w:t>were enrolled in schools under</w:t>
      </w:r>
      <w:r w:rsidRPr="0031203B">
        <w:t xml:space="preserve"> </w:t>
      </w:r>
      <w:r w:rsidR="00CC3F39">
        <w:t>S</w:t>
      </w:r>
      <w:r w:rsidR="00CC3F39" w:rsidRPr="0031203B">
        <w:t>tate</w:t>
      </w:r>
      <w:r w:rsidRPr="0031203B">
        <w:t>-</w:t>
      </w:r>
      <w:r w:rsidR="00A669BD">
        <w:t>r</w:t>
      </w:r>
      <w:r w:rsidRPr="0031203B">
        <w:t xml:space="preserve">eligious </w:t>
      </w:r>
      <w:r w:rsidR="00531A9F" w:rsidRPr="0031203B">
        <w:t>supervision</w:t>
      </w:r>
      <w:r w:rsidRPr="0031203B">
        <w:t xml:space="preserve"> (primary and secondary </w:t>
      </w:r>
      <w:r w:rsidR="00531A9F" w:rsidRPr="0031203B">
        <w:t>education</w:t>
      </w:r>
      <w:r w:rsidRPr="0031203B">
        <w:t>)</w:t>
      </w:r>
      <w:r w:rsidR="00E67D8D" w:rsidRPr="0031203B">
        <w:t>. Th</w:t>
      </w:r>
      <w:r w:rsidR="00531A9F" w:rsidRPr="0031203B">
        <w:t>is percentage has been declining over</w:t>
      </w:r>
      <w:r w:rsidR="00E67D8D" w:rsidRPr="0031203B">
        <w:t xml:space="preserve"> the past decade (</w:t>
      </w:r>
      <w:r w:rsidR="00292509">
        <w:t xml:space="preserve">it was </w:t>
      </w:r>
      <w:r w:rsidR="003E2232">
        <w:t>5</w:t>
      </w:r>
      <w:r w:rsidR="00F972F1">
        <w:t>5</w:t>
      </w:r>
      <w:r w:rsidR="003E2232">
        <w:t>.</w:t>
      </w:r>
      <w:r w:rsidR="00F972F1">
        <w:t>4</w:t>
      </w:r>
      <w:r w:rsidR="00E67D8D" w:rsidRPr="0031203B">
        <w:t>% in the 200</w:t>
      </w:r>
      <w:r w:rsidR="00F972F1">
        <w:t>8</w:t>
      </w:r>
      <w:r w:rsidR="00E67D8D" w:rsidRPr="0031203B">
        <w:t>/0</w:t>
      </w:r>
      <w:r w:rsidR="00F972F1">
        <w:t>9</w:t>
      </w:r>
      <w:r w:rsidR="00531A9F" w:rsidRPr="0031203B">
        <w:t xml:space="preserve"> school year</w:t>
      </w:r>
      <w:r w:rsidR="00E67D8D" w:rsidRPr="0031203B">
        <w:t>)</w:t>
      </w:r>
      <w:r w:rsidR="00531A9F" w:rsidRPr="0031203B">
        <w:t>. Concomitantly, there has been</w:t>
      </w:r>
      <w:r w:rsidR="00E67D8D" w:rsidRPr="0031203B">
        <w:t xml:space="preserve"> an increase in the percentage of s</w:t>
      </w:r>
      <w:r w:rsidR="00531A9F" w:rsidRPr="0031203B">
        <w:t>tudents enrolled</w:t>
      </w:r>
      <w:r w:rsidR="00E67D8D" w:rsidRPr="0031203B">
        <w:t xml:space="preserve"> </w:t>
      </w:r>
      <w:r w:rsidR="00531A9F" w:rsidRPr="0031203B">
        <w:t xml:space="preserve">in schools under </w:t>
      </w:r>
      <w:r w:rsidR="00E67D8D" w:rsidRPr="0031203B">
        <w:t xml:space="preserve">State </w:t>
      </w:r>
      <w:r w:rsidR="00531A9F" w:rsidRPr="0031203B">
        <w:t>supervision</w:t>
      </w:r>
      <w:r w:rsidR="00E67D8D" w:rsidRPr="0031203B">
        <w:t xml:space="preserve"> (</w:t>
      </w:r>
      <w:r w:rsidR="007607F1">
        <w:t>5</w:t>
      </w:r>
      <w:r w:rsidR="00F972F1">
        <w:t>2</w:t>
      </w:r>
      <w:r w:rsidR="007607F1">
        <w:t>.</w:t>
      </w:r>
      <w:r w:rsidR="005735DA">
        <w:t>2</w:t>
      </w:r>
      <w:r w:rsidR="00E67D8D" w:rsidRPr="0031203B">
        <w:t>%</w:t>
      </w:r>
      <w:r w:rsidR="008B7A22">
        <w:t>,</w:t>
      </w:r>
      <w:r w:rsidR="00E67D8D" w:rsidRPr="0031203B">
        <w:t xml:space="preserve"> compared to </w:t>
      </w:r>
      <w:r w:rsidR="002B7E24">
        <w:t>4</w:t>
      </w:r>
      <w:r w:rsidR="00F972F1">
        <w:t>2</w:t>
      </w:r>
      <w:r w:rsidR="002B7E24">
        <w:t>.</w:t>
      </w:r>
      <w:r w:rsidR="003A3CC0">
        <w:t>3</w:t>
      </w:r>
      <w:r w:rsidR="00E67D8D" w:rsidRPr="0031203B">
        <w:t xml:space="preserve">% in the </w:t>
      </w:r>
      <w:r w:rsidR="002B7E24">
        <w:t>200</w:t>
      </w:r>
      <w:r w:rsidR="00F972F1">
        <w:t>8</w:t>
      </w:r>
      <w:r w:rsidR="006A1A63" w:rsidRPr="0031203B">
        <w:t>/</w:t>
      </w:r>
      <w:r w:rsidR="00E67D8D" w:rsidRPr="0031203B">
        <w:t>0</w:t>
      </w:r>
      <w:r w:rsidR="00F972F1">
        <w:t>9</w:t>
      </w:r>
      <w:r w:rsidR="006A1A63" w:rsidRPr="0031203B">
        <w:t xml:space="preserve"> school year</w:t>
      </w:r>
      <w:r w:rsidR="00A669BD">
        <w:t>). In U</w:t>
      </w:r>
      <w:r w:rsidR="00E67D8D" w:rsidRPr="0031203B">
        <w:t xml:space="preserve">ltra-Orthodox supervision, </w:t>
      </w:r>
      <w:r w:rsidR="004E35BF">
        <w:t>this figure rose</w:t>
      </w:r>
      <w:r w:rsidR="002B7E24">
        <w:t xml:space="preserve"> to</w:t>
      </w:r>
      <w:r w:rsidR="00E67D8D" w:rsidRPr="0031203B">
        <w:t xml:space="preserve"> </w:t>
      </w:r>
      <w:r w:rsidR="007607F1">
        <w:t>4.</w:t>
      </w:r>
      <w:r w:rsidR="00F972F1">
        <w:t>9</w:t>
      </w:r>
      <w:r w:rsidR="002B7E24">
        <w:t>%</w:t>
      </w:r>
      <w:r w:rsidR="00F9481C">
        <w:t xml:space="preserve"> </w:t>
      </w:r>
      <w:r w:rsidR="008E1339">
        <w:t>–</w:t>
      </w:r>
      <w:r w:rsidR="00F9481C">
        <w:t xml:space="preserve"> more than twice </w:t>
      </w:r>
      <w:r w:rsidR="00543DF6">
        <w:t>th</w:t>
      </w:r>
      <w:r w:rsidR="00792279">
        <w:t>e percentage</w:t>
      </w:r>
      <w:r w:rsidR="00543DF6">
        <w:t xml:space="preserve"> </w:t>
      </w:r>
      <w:r w:rsidR="00792279">
        <w:t>in</w:t>
      </w:r>
      <w:r w:rsidR="002B7E24">
        <w:t xml:space="preserve"> the 200</w:t>
      </w:r>
      <w:r w:rsidR="00F972F1">
        <w:t>8</w:t>
      </w:r>
      <w:r w:rsidR="002B7E24">
        <w:t>/0</w:t>
      </w:r>
      <w:r w:rsidR="00F972F1">
        <w:t>9</w:t>
      </w:r>
      <w:r w:rsidR="006A1A63" w:rsidRPr="0031203B">
        <w:t xml:space="preserve"> school year</w:t>
      </w:r>
      <w:r w:rsidR="00F9481C">
        <w:t xml:space="preserve"> (2.</w:t>
      </w:r>
      <w:r w:rsidR="00F972F1">
        <w:t>3</w:t>
      </w:r>
      <w:r w:rsidR="00F9481C">
        <w:t>%)</w:t>
      </w:r>
      <w:r w:rsidR="007607F1">
        <w:t xml:space="preserve"> (Diagram </w:t>
      </w:r>
      <w:r w:rsidR="00F972F1">
        <w:t>6</w:t>
      </w:r>
      <w:r w:rsidR="007607F1">
        <w:t>)</w:t>
      </w:r>
      <w:r w:rsidR="00E67D8D" w:rsidRPr="0031203B">
        <w:t>.</w:t>
      </w:r>
    </w:p>
    <w:p w:rsidR="007607F1" w:rsidRPr="004D53EE" w:rsidRDefault="007607F1" w:rsidP="004D53EE">
      <w:pPr>
        <w:jc w:val="center"/>
        <w:rPr>
          <w:b/>
          <w:bCs/>
        </w:rPr>
      </w:pPr>
      <w:r w:rsidRPr="004D53EE">
        <w:rPr>
          <w:b/>
          <w:bCs/>
        </w:rPr>
        <w:t xml:space="preserve">Diagram </w:t>
      </w:r>
      <w:r w:rsidR="00F972F1" w:rsidRPr="004D53EE">
        <w:rPr>
          <w:b/>
          <w:bCs/>
        </w:rPr>
        <w:t>6</w:t>
      </w:r>
      <w:r w:rsidR="00A74B09" w:rsidRPr="004D53EE">
        <w:rPr>
          <w:b/>
          <w:bCs/>
          <w:sz w:val="28"/>
        </w:rPr>
        <w:t xml:space="preserve"> -</w:t>
      </w:r>
      <w:r w:rsidRPr="004D53EE">
        <w:rPr>
          <w:b/>
          <w:bCs/>
          <w:sz w:val="28"/>
        </w:rPr>
        <w:t xml:space="preserve"> </w:t>
      </w:r>
      <w:r w:rsidR="00DD7CC8" w:rsidRPr="004D53EE">
        <w:rPr>
          <w:b/>
          <w:bCs/>
        </w:rPr>
        <w:t>S</w:t>
      </w:r>
      <w:r w:rsidR="00AF6397" w:rsidRPr="004D53EE">
        <w:rPr>
          <w:b/>
          <w:bCs/>
        </w:rPr>
        <w:t>tudents</w:t>
      </w:r>
      <w:r w:rsidR="00BF0A03" w:rsidRPr="004D53EE">
        <w:rPr>
          <w:b/>
          <w:bCs/>
        </w:rPr>
        <w:t xml:space="preserve"> of Ethiopian Origin, by Supervision, Selected Years</w:t>
      </w:r>
    </w:p>
    <w:p w:rsidR="007607F1" w:rsidRPr="0031203B" w:rsidRDefault="009F1A25" w:rsidP="00C21133">
      <w:pPr>
        <w:pStyle w:val="diagram"/>
      </w:pPr>
      <w:r>
        <w:rPr>
          <w:noProof/>
          <w:lang w:eastAsia="en-US"/>
        </w:rPr>
        <w:drawing>
          <wp:inline distT="0" distB="0" distL="0" distR="0" wp14:anchorId="4C35660C" wp14:editId="3798B83F">
            <wp:extent cx="5219700" cy="3208020"/>
            <wp:effectExtent l="0" t="0" r="0" b="0"/>
            <wp:docPr id="15" name="Picture 15" descr="Diagram 6 - Students of Ethiopian Origin, by Supervision, Selected Years" title="Diagram 6 - Students of Ethiopian Origin, by Supervision, Selected 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19700" cy="3208020"/>
                    </a:xfrm>
                    <a:prstGeom prst="rect">
                      <a:avLst/>
                    </a:prstGeom>
                    <a:noFill/>
                  </pic:spPr>
                </pic:pic>
              </a:graphicData>
            </a:graphic>
          </wp:inline>
        </w:drawing>
      </w:r>
    </w:p>
    <w:p w:rsidR="004D53EE" w:rsidRDefault="00723870" w:rsidP="004D53EE">
      <w:r w:rsidRPr="00723870">
        <w:t xml:space="preserve">In the primary education system in </w:t>
      </w:r>
      <w:r>
        <w:t>201</w:t>
      </w:r>
      <w:r w:rsidR="00BB61B4">
        <w:t>8</w:t>
      </w:r>
      <w:r>
        <w:t>/1</w:t>
      </w:r>
      <w:r w:rsidR="00BB61B4">
        <w:t>9</w:t>
      </w:r>
      <w:r w:rsidRPr="00723870">
        <w:t xml:space="preserve">, </w:t>
      </w:r>
      <w:r w:rsidR="00BB61B4">
        <w:t>6</w:t>
      </w:r>
      <w:r w:rsidR="008D7FE9">
        <w:t>.</w:t>
      </w:r>
      <w:r w:rsidR="00BB61B4">
        <w:t>2</w:t>
      </w:r>
      <w:r w:rsidRPr="00723870">
        <w:t xml:space="preserve">% of Ethiopian-born </w:t>
      </w:r>
      <w:r w:rsidR="00DD7CC8">
        <w:t>students</w:t>
      </w:r>
      <w:r w:rsidRPr="00723870">
        <w:t xml:space="preserve"> and </w:t>
      </w:r>
      <w:r w:rsidR="008D7FE9">
        <w:t>8.</w:t>
      </w:r>
      <w:r w:rsidR="00BB61B4">
        <w:t>9</w:t>
      </w:r>
      <w:r w:rsidRPr="00723870">
        <w:t xml:space="preserve">% of Israeli-born </w:t>
      </w:r>
      <w:r w:rsidR="00DD7CC8">
        <w:t>students</w:t>
      </w:r>
      <w:r w:rsidRPr="00723870">
        <w:t xml:space="preserve"> whose fathers were </w:t>
      </w:r>
      <w:r w:rsidR="00A669BD">
        <w:t xml:space="preserve">born in Ethiopia studied under </w:t>
      </w:r>
      <w:r w:rsidR="00CC3F39">
        <w:t>U</w:t>
      </w:r>
      <w:r w:rsidR="00CC3F39" w:rsidRPr="00723870">
        <w:t>ltra</w:t>
      </w:r>
      <w:r w:rsidRPr="00723870">
        <w:t>-Orthodox supervision.</w:t>
      </w:r>
      <w:r>
        <w:t xml:space="preserve"> </w:t>
      </w:r>
      <w:r w:rsidR="00EF01FE">
        <w:t>Over the past</w:t>
      </w:r>
      <w:r w:rsidRPr="00723870">
        <w:t xml:space="preserve"> decade, there has been a </w:t>
      </w:r>
      <w:r w:rsidR="00814185">
        <w:t>decline</w:t>
      </w:r>
      <w:r w:rsidRPr="00723870">
        <w:t xml:space="preserve"> in the proportion of students under </w:t>
      </w:r>
      <w:r w:rsidR="00CC3F39">
        <w:t>S</w:t>
      </w:r>
      <w:r w:rsidR="00CC3F39" w:rsidRPr="00723870">
        <w:t>tate</w:t>
      </w:r>
      <w:r w:rsidRPr="00723870">
        <w:t>-</w:t>
      </w:r>
      <w:r w:rsidR="00A669BD">
        <w:t>r</w:t>
      </w:r>
      <w:r w:rsidRPr="00723870">
        <w:t>eligious supervision in both groups of students (</w:t>
      </w:r>
      <w:r w:rsidR="00DD7CC8">
        <w:t>students</w:t>
      </w:r>
      <w:r>
        <w:t xml:space="preserve"> </w:t>
      </w:r>
      <w:r w:rsidRPr="00723870">
        <w:t>born in Ethiopia and those born in Israel whose fathers were born in Ethiopia)</w:t>
      </w:r>
      <w:r>
        <w:t>, c</w:t>
      </w:r>
      <w:r w:rsidRPr="00723870">
        <w:t>onc</w:t>
      </w:r>
      <w:r w:rsidR="00A669BD">
        <w:t>omita</w:t>
      </w:r>
      <w:r w:rsidRPr="00723870">
        <w:t xml:space="preserve">nt with an increase in the proportion of </w:t>
      </w:r>
      <w:r w:rsidR="00DD7CC8">
        <w:t>students</w:t>
      </w:r>
      <w:r w:rsidRPr="00723870">
        <w:t xml:space="preserve"> under </w:t>
      </w:r>
      <w:r w:rsidR="00CC3F39">
        <w:t>S</w:t>
      </w:r>
      <w:r w:rsidR="00CC3F39" w:rsidRPr="00723870">
        <w:t xml:space="preserve">tate </w:t>
      </w:r>
      <w:r w:rsidRPr="00723870">
        <w:t xml:space="preserve">supervision and </w:t>
      </w:r>
      <w:r w:rsidR="00CC3F39">
        <w:t>U</w:t>
      </w:r>
      <w:r w:rsidR="00CC3F39" w:rsidRPr="00723870">
        <w:t>ltra</w:t>
      </w:r>
      <w:r w:rsidRPr="00723870">
        <w:t>-Orthodox supervision</w:t>
      </w:r>
      <w:r w:rsidR="005B3D1D">
        <w:t xml:space="preserve"> (Diagram </w:t>
      </w:r>
      <w:r w:rsidR="00BB61B4">
        <w:t>7</w:t>
      </w:r>
      <w:r w:rsidR="005B3D1D">
        <w:t>)</w:t>
      </w:r>
      <w:r w:rsidRPr="00723870">
        <w:t>.</w:t>
      </w:r>
    </w:p>
    <w:p w:rsidR="004D53EE" w:rsidRDefault="004D53EE">
      <w:pPr>
        <w:spacing w:after="200" w:line="276" w:lineRule="auto"/>
      </w:pPr>
      <w:r>
        <w:br w:type="page"/>
      </w:r>
    </w:p>
    <w:p w:rsidR="009A443A" w:rsidRPr="004D53EE" w:rsidRDefault="009A443A" w:rsidP="004D53EE">
      <w:pPr>
        <w:jc w:val="center"/>
        <w:rPr>
          <w:b/>
          <w:bCs/>
        </w:rPr>
      </w:pPr>
      <w:r w:rsidRPr="004D53EE">
        <w:rPr>
          <w:b/>
          <w:bCs/>
        </w:rPr>
        <w:t xml:space="preserve">Diagram </w:t>
      </w:r>
      <w:r w:rsidR="00BB61B4" w:rsidRPr="004D53EE">
        <w:rPr>
          <w:rFonts w:hint="cs"/>
          <w:b/>
          <w:bCs/>
          <w:rtl/>
        </w:rPr>
        <w:t>7</w:t>
      </w:r>
      <w:r w:rsidR="00A74B09" w:rsidRPr="004D53EE">
        <w:rPr>
          <w:b/>
          <w:bCs/>
        </w:rPr>
        <w:t xml:space="preserve"> -</w:t>
      </w:r>
      <w:r w:rsidRPr="004D53EE">
        <w:rPr>
          <w:b/>
          <w:bCs/>
        </w:rPr>
        <w:t xml:space="preserve"> </w:t>
      </w:r>
      <w:r w:rsidR="00843BCA" w:rsidRPr="004D53EE">
        <w:rPr>
          <w:b/>
          <w:bCs/>
        </w:rPr>
        <w:t>S</w:t>
      </w:r>
      <w:r w:rsidR="00DD7CC8" w:rsidRPr="004D53EE">
        <w:rPr>
          <w:b/>
          <w:bCs/>
        </w:rPr>
        <w:t>tudents</w:t>
      </w:r>
      <w:r w:rsidR="00BF0A03" w:rsidRPr="004D53EE">
        <w:rPr>
          <w:b/>
          <w:bCs/>
        </w:rPr>
        <w:t xml:space="preserve"> of Ethiopian Origin, by Place of Birth and Supervision</w:t>
      </w:r>
      <w:r w:rsidR="00BF0A03" w:rsidRPr="004D53EE">
        <w:rPr>
          <w:b/>
          <w:bCs/>
        </w:rPr>
        <w:br/>
        <w:t>(Primary Education), Selected Years</w:t>
      </w:r>
    </w:p>
    <w:p w:rsidR="005B3D1D" w:rsidRPr="005B4E89" w:rsidRDefault="00A74B09" w:rsidP="00C21133">
      <w:pPr>
        <w:pStyle w:val="diagram"/>
      </w:pPr>
      <w:r>
        <w:rPr>
          <w:noProof/>
          <w:lang w:eastAsia="en-US"/>
        </w:rPr>
        <w:drawing>
          <wp:inline distT="0" distB="0" distL="0" distR="0" wp14:anchorId="78E11336" wp14:editId="6DAB0603">
            <wp:extent cx="5550011" cy="2949083"/>
            <wp:effectExtent l="0" t="0" r="0" b="3810"/>
            <wp:docPr id="7" name="Picture 7" descr="Diagram 7 - Students of Ethiopian Origin, by Place of Birth and Supervision&#10;(Primary Education), Selected Years&#10;" title="Diagram 7 - Students of Ethiopian Origin, by Place of Birth and Super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50902" cy="2949556"/>
                    </a:xfrm>
                    <a:prstGeom prst="rect">
                      <a:avLst/>
                    </a:prstGeom>
                    <a:noFill/>
                  </pic:spPr>
                </pic:pic>
              </a:graphicData>
            </a:graphic>
          </wp:inline>
        </w:drawing>
      </w:r>
    </w:p>
    <w:p w:rsidR="00DE0685" w:rsidRDefault="002B653F" w:rsidP="004D53EE">
      <w:r w:rsidRPr="0031203B">
        <w:t xml:space="preserve">Among </w:t>
      </w:r>
      <w:r w:rsidR="00DD7CC8">
        <w:t>students</w:t>
      </w:r>
      <w:r w:rsidR="007D3990" w:rsidRPr="0031203B">
        <w:t xml:space="preserve"> </w:t>
      </w:r>
      <w:r w:rsidR="007D3990">
        <w:t xml:space="preserve">of </w:t>
      </w:r>
      <w:r w:rsidRPr="0031203B">
        <w:t xml:space="preserve">Ethiopian </w:t>
      </w:r>
      <w:r w:rsidR="007D3990">
        <w:t xml:space="preserve">origin </w:t>
      </w:r>
      <w:r w:rsidR="006A1A63" w:rsidRPr="0031203B">
        <w:t xml:space="preserve">in </w:t>
      </w:r>
      <w:r w:rsidR="00723870">
        <w:t xml:space="preserve">upper secondary education, </w:t>
      </w:r>
      <w:r w:rsidR="001D2089">
        <w:t>49.</w:t>
      </w:r>
      <w:r w:rsidR="00E724AC">
        <w:rPr>
          <w:rFonts w:hint="cs"/>
          <w:rtl/>
        </w:rPr>
        <w:t>2</w:t>
      </w:r>
      <w:r w:rsidRPr="0031203B">
        <w:t xml:space="preserve">% </w:t>
      </w:r>
      <w:r w:rsidR="006A1A63" w:rsidRPr="0031203B">
        <w:t>were enrolled</w:t>
      </w:r>
      <w:r w:rsidR="00EC3DE0">
        <w:t xml:space="preserve"> in the technological</w:t>
      </w:r>
      <w:r w:rsidR="00EC3DE0" w:rsidRPr="00EC3DE0">
        <w:t>/vocational</w:t>
      </w:r>
      <w:r w:rsidR="00EC3DE0">
        <w:t xml:space="preserve"> </w:t>
      </w:r>
      <w:r w:rsidRPr="0031203B">
        <w:t>track,</w:t>
      </w:r>
      <w:r w:rsidR="001D2089">
        <w:rPr>
          <w:rStyle w:val="FootnoteReference"/>
        </w:rPr>
        <w:footnoteReference w:id="11"/>
      </w:r>
      <w:r w:rsidRPr="0031203B">
        <w:t xml:space="preserve"> </w:t>
      </w:r>
      <w:r w:rsidR="00723870">
        <w:t xml:space="preserve">whereas </w:t>
      </w:r>
      <w:r w:rsidR="001D2089">
        <w:t>34.7</w:t>
      </w:r>
      <w:r w:rsidR="006A1A63" w:rsidRPr="0031203B">
        <w:t xml:space="preserve">% of their non-Ethiopian counterparts in Hebrew </w:t>
      </w:r>
      <w:r w:rsidR="00DE0685">
        <w:t xml:space="preserve">education </w:t>
      </w:r>
      <w:r w:rsidR="00DE0685" w:rsidRPr="00DE0685">
        <w:t>were enrolled in the technological / vocational track</w:t>
      </w:r>
    </w:p>
    <w:p w:rsidR="00E724AC" w:rsidRPr="004D53EE" w:rsidRDefault="00E724AC" w:rsidP="004D53EE">
      <w:pPr>
        <w:jc w:val="center"/>
        <w:rPr>
          <w:b/>
          <w:bCs/>
        </w:rPr>
      </w:pPr>
      <w:r w:rsidRPr="004D53EE">
        <w:rPr>
          <w:b/>
          <w:bCs/>
        </w:rPr>
        <w:t>Diagram 8</w:t>
      </w:r>
      <w:r w:rsidR="001071B8" w:rsidRPr="004D53EE">
        <w:rPr>
          <w:b/>
          <w:bCs/>
        </w:rPr>
        <w:t xml:space="preserve"> -</w:t>
      </w:r>
      <w:r w:rsidR="009166CE" w:rsidRPr="004D53EE">
        <w:rPr>
          <w:b/>
          <w:bCs/>
        </w:rPr>
        <w:t xml:space="preserve"> </w:t>
      </w:r>
      <w:r w:rsidR="007B124D" w:rsidRPr="004D53EE">
        <w:rPr>
          <w:b/>
          <w:bCs/>
        </w:rPr>
        <w:t>Students</w:t>
      </w:r>
      <w:r w:rsidR="00E941B9" w:rsidRPr="004D53EE">
        <w:rPr>
          <w:b/>
          <w:bCs/>
        </w:rPr>
        <w:t xml:space="preserve"> </w:t>
      </w:r>
      <w:r w:rsidR="00444DB8" w:rsidRPr="004D53EE">
        <w:rPr>
          <w:b/>
          <w:bCs/>
        </w:rPr>
        <w:t>Attending</w:t>
      </w:r>
      <w:r w:rsidR="00E941B9" w:rsidRPr="004D53EE">
        <w:rPr>
          <w:b/>
          <w:bCs/>
        </w:rPr>
        <w:t xml:space="preserve"> Technological/Vocational </w:t>
      </w:r>
      <w:r w:rsidR="00CB0A01" w:rsidRPr="004D53EE">
        <w:rPr>
          <w:b/>
          <w:bCs/>
        </w:rPr>
        <w:t xml:space="preserve">Courses </w:t>
      </w:r>
      <w:r w:rsidR="00E941B9" w:rsidRPr="004D53EE">
        <w:rPr>
          <w:b/>
          <w:bCs/>
        </w:rPr>
        <w:t>(Hebrew Education),</w:t>
      </w:r>
      <w:r w:rsidR="007C15AF" w:rsidRPr="004D53EE">
        <w:rPr>
          <w:b/>
          <w:bCs/>
        </w:rPr>
        <w:t xml:space="preserve"> </w:t>
      </w:r>
      <w:r w:rsidR="00E941B9" w:rsidRPr="004D53EE">
        <w:rPr>
          <w:b/>
          <w:bCs/>
        </w:rPr>
        <w:t>By Origin and Sex</w:t>
      </w:r>
      <w:r w:rsidR="005B7B80" w:rsidRPr="004D53EE">
        <w:rPr>
          <w:b/>
          <w:bCs/>
        </w:rPr>
        <w:t>,</w:t>
      </w:r>
      <w:r w:rsidR="00E941B9" w:rsidRPr="004D53EE">
        <w:rPr>
          <w:b/>
          <w:bCs/>
        </w:rPr>
        <w:t xml:space="preserve"> 2018/19</w:t>
      </w:r>
    </w:p>
    <w:p w:rsidR="00A234DA" w:rsidRDefault="00D25900" w:rsidP="00C21133">
      <w:pPr>
        <w:pStyle w:val="diagram"/>
      </w:pPr>
      <w:r>
        <w:rPr>
          <w:noProof/>
          <w:lang w:eastAsia="en-US"/>
        </w:rPr>
        <w:drawing>
          <wp:inline distT="0" distB="0" distL="0" distR="0" wp14:anchorId="5512839F" wp14:editId="42503F35">
            <wp:extent cx="4486910" cy="2468880"/>
            <wp:effectExtent l="0" t="0" r="8890" b="7620"/>
            <wp:docPr id="1" name="Picture 1" descr="by percentages" title="Diagram 8 - Students Attending Technological/Vocational Courses (Hebrew Education), By Origin and Sex, 201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486910" cy="2468880"/>
                    </a:xfrm>
                    <a:prstGeom prst="rect">
                      <a:avLst/>
                    </a:prstGeom>
                    <a:noFill/>
                  </pic:spPr>
                </pic:pic>
              </a:graphicData>
            </a:graphic>
          </wp:inline>
        </w:drawing>
      </w:r>
    </w:p>
    <w:p w:rsidR="00A234DA" w:rsidRDefault="00A234DA">
      <w:pPr>
        <w:spacing w:after="200" w:line="276" w:lineRule="auto"/>
      </w:pPr>
      <w:r>
        <w:br w:type="page"/>
      </w:r>
    </w:p>
    <w:p w:rsidR="0062552B" w:rsidRPr="0031203B" w:rsidRDefault="0062552B" w:rsidP="000003D2">
      <w:pPr>
        <w:pStyle w:val="Head2Release"/>
        <w:spacing w:after="0"/>
        <w:jc w:val="left"/>
        <w:rPr>
          <w:sz w:val="24"/>
          <w:szCs w:val="24"/>
        </w:rPr>
      </w:pPr>
      <w:r w:rsidRPr="001C5590">
        <w:rPr>
          <w:rStyle w:val="Heading2Char"/>
          <w:b/>
          <w:bCs/>
        </w:rPr>
        <w:t>Matriculation Examinees</w:t>
      </w:r>
      <w:r w:rsidR="0067206D" w:rsidRPr="0031203B">
        <w:rPr>
          <w:rStyle w:val="FootnoteReference"/>
          <w:sz w:val="24"/>
          <w:szCs w:val="24"/>
        </w:rPr>
        <w:footnoteReference w:id="12"/>
      </w:r>
    </w:p>
    <w:p w:rsidR="0067206D" w:rsidRPr="0031203B" w:rsidRDefault="0067206D" w:rsidP="004D53EE">
      <w:r w:rsidRPr="0031203B">
        <w:t>In the 201</w:t>
      </w:r>
      <w:r w:rsidR="00E724AC">
        <w:t>8</w:t>
      </w:r>
      <w:r w:rsidRPr="0031203B">
        <w:t>/1</w:t>
      </w:r>
      <w:r w:rsidR="00E724AC">
        <w:t>9</w:t>
      </w:r>
      <w:r w:rsidRPr="0031203B">
        <w:t xml:space="preserve"> school year, 2,</w:t>
      </w:r>
      <w:r w:rsidR="00E724AC">
        <w:t>61</w:t>
      </w:r>
      <w:r w:rsidR="00051565">
        <w:t>3</w:t>
      </w:r>
      <w:r w:rsidRPr="0031203B">
        <w:t xml:space="preserve"> </w:t>
      </w:r>
      <w:r w:rsidR="00DD7CC8">
        <w:t xml:space="preserve">12th </w:t>
      </w:r>
      <w:r w:rsidRPr="0031203B">
        <w:t xml:space="preserve">grade </w:t>
      </w:r>
      <w:r w:rsidR="00DD7CC8">
        <w:t>students</w:t>
      </w:r>
      <w:r w:rsidRPr="0031203B">
        <w:t xml:space="preserve"> </w:t>
      </w:r>
      <w:r w:rsidR="007D3990">
        <w:t xml:space="preserve">of </w:t>
      </w:r>
      <w:r w:rsidR="007D3990" w:rsidRPr="0031203B">
        <w:t xml:space="preserve">Ethiopian </w:t>
      </w:r>
      <w:r w:rsidR="007D3990">
        <w:t xml:space="preserve">origin </w:t>
      </w:r>
      <w:r w:rsidRPr="0031203B">
        <w:t>took matriculation exams.</w:t>
      </w:r>
    </w:p>
    <w:p w:rsidR="00952498" w:rsidRDefault="0067206D" w:rsidP="004D53EE">
      <w:r w:rsidRPr="0031203B">
        <w:t>The percentage of</w:t>
      </w:r>
      <w:r w:rsidR="00654DFE" w:rsidRPr="0031203B">
        <w:t xml:space="preserve"> </w:t>
      </w:r>
      <w:r w:rsidR="00CC3F39">
        <w:t xml:space="preserve">12th </w:t>
      </w:r>
      <w:r w:rsidR="007D3990" w:rsidRPr="0031203B">
        <w:t xml:space="preserve">grade </w:t>
      </w:r>
      <w:r w:rsidR="00DD7CC8">
        <w:t>students</w:t>
      </w:r>
      <w:r w:rsidR="007D3990" w:rsidRPr="0031203B">
        <w:t xml:space="preserve"> </w:t>
      </w:r>
      <w:r w:rsidR="007D3990">
        <w:t xml:space="preserve">of </w:t>
      </w:r>
      <w:r w:rsidR="007D3990" w:rsidRPr="0031203B">
        <w:t xml:space="preserve">Ethiopian </w:t>
      </w:r>
      <w:r w:rsidR="007D3990">
        <w:t>origin</w:t>
      </w:r>
      <w:r w:rsidRPr="0031203B">
        <w:t xml:space="preserve"> taking matriculation exams </w:t>
      </w:r>
      <w:r w:rsidR="00654DFE" w:rsidRPr="0031203B">
        <w:t>was</w:t>
      </w:r>
      <w:r w:rsidRPr="0031203B">
        <w:t xml:space="preserve"> </w:t>
      </w:r>
      <w:r w:rsidR="00E94975">
        <w:t>92</w:t>
      </w:r>
      <w:r w:rsidRPr="0031203B">
        <w:t xml:space="preserve">% </w:t>
      </w:r>
      <w:r w:rsidR="000A1C5E" w:rsidRPr="0031203B">
        <w:t>in 201</w:t>
      </w:r>
      <w:r w:rsidR="008A4069">
        <w:t>9</w:t>
      </w:r>
      <w:r w:rsidRPr="0031203B">
        <w:t xml:space="preserve">, compared with </w:t>
      </w:r>
      <w:r w:rsidR="00E94975">
        <w:t>9</w:t>
      </w:r>
      <w:r w:rsidR="008E57D4">
        <w:t>5</w:t>
      </w:r>
      <w:r w:rsidR="008A4069">
        <w:t>.1</w:t>
      </w:r>
      <w:r w:rsidRPr="0031203B">
        <w:t xml:space="preserve">% </w:t>
      </w:r>
      <w:r w:rsidR="00627C8E">
        <w:t>of</w:t>
      </w:r>
      <w:r w:rsidRPr="0031203B">
        <w:t xml:space="preserve"> </w:t>
      </w:r>
      <w:r w:rsidR="00C33E32" w:rsidRPr="0031203B">
        <w:t xml:space="preserve">the </w:t>
      </w:r>
      <w:r w:rsidR="00483E43">
        <w:t>overall</w:t>
      </w:r>
      <w:r w:rsidR="00C33E32" w:rsidRPr="0031203B">
        <w:t xml:space="preserve"> </w:t>
      </w:r>
      <w:r w:rsidRPr="0031203B">
        <w:t xml:space="preserve">Hebrew </w:t>
      </w:r>
      <w:r w:rsidRPr="006028FD">
        <w:t>education</w:t>
      </w:r>
      <w:r w:rsidR="00022375" w:rsidRPr="006028FD">
        <w:t xml:space="preserve"> </w:t>
      </w:r>
      <w:r w:rsidR="00CC3F39" w:rsidRPr="006028FD">
        <w:t>sector</w:t>
      </w:r>
      <w:r w:rsidR="008539D7">
        <w:t xml:space="preserve"> (excluding </w:t>
      </w:r>
      <w:r w:rsidR="008B1E88">
        <w:t>u</w:t>
      </w:r>
      <w:r w:rsidR="008539D7">
        <w:t>ltra-Orthodox supervision)</w:t>
      </w:r>
      <w:r w:rsidR="00C33E32" w:rsidRPr="006028FD">
        <w:t>.</w:t>
      </w:r>
      <w:r w:rsidR="00C33E32" w:rsidRPr="0031203B">
        <w:t xml:space="preserve"> </w:t>
      </w:r>
      <w:r w:rsidR="00163104">
        <w:t>T</w:t>
      </w:r>
      <w:r w:rsidRPr="0031203B">
        <w:t xml:space="preserve">he percentage of </w:t>
      </w:r>
      <w:r w:rsidR="008F55C2">
        <w:t>students of Ethiopian origin who were</w:t>
      </w:r>
      <w:r w:rsidRPr="0031203B">
        <w:t xml:space="preserve"> </w:t>
      </w:r>
      <w:r w:rsidR="008F55C2">
        <w:t>eligible for</w:t>
      </w:r>
      <w:r w:rsidRPr="0031203B">
        <w:t xml:space="preserve"> a matriculation certificate </w:t>
      </w:r>
      <w:r w:rsidR="003D7005">
        <w:t>is significantly lower</w:t>
      </w:r>
      <w:r w:rsidRPr="0031203B">
        <w:t xml:space="preserve"> </w:t>
      </w:r>
      <w:r w:rsidR="00B37FB0">
        <w:t>–</w:t>
      </w:r>
      <w:r w:rsidRPr="0031203B">
        <w:t xml:space="preserve"> </w:t>
      </w:r>
      <w:r w:rsidR="001577FD">
        <w:t>6</w:t>
      </w:r>
      <w:r w:rsidR="008A4069">
        <w:t>4</w:t>
      </w:r>
      <w:r w:rsidR="005C78E6">
        <w:t>.</w:t>
      </w:r>
      <w:r w:rsidR="003D7005">
        <w:t>3</w:t>
      </w:r>
      <w:r w:rsidRPr="0031203B">
        <w:t xml:space="preserve">% versus </w:t>
      </w:r>
      <w:r w:rsidR="005C78E6">
        <w:t>80.</w:t>
      </w:r>
      <w:r w:rsidR="008A4069">
        <w:t>5</w:t>
      </w:r>
      <w:r w:rsidRPr="0031203B">
        <w:t xml:space="preserve">%, respectively. </w:t>
      </w:r>
      <w:r w:rsidR="00163104">
        <w:t xml:space="preserve">However, </w:t>
      </w:r>
      <w:r w:rsidR="00E57430">
        <w:t xml:space="preserve">the percentage of </w:t>
      </w:r>
      <w:r w:rsidR="00EF12D1">
        <w:t>students of Ethiopian origin who are</w:t>
      </w:r>
      <w:r w:rsidR="00E57430">
        <w:t xml:space="preserve"> eligible for a matriculation certificate</w:t>
      </w:r>
      <w:r w:rsidR="00163104">
        <w:t xml:space="preserve"> has been </w:t>
      </w:r>
      <w:r w:rsidR="00483E43">
        <w:t>rising</w:t>
      </w:r>
      <w:r w:rsidR="002048B1">
        <w:t xml:space="preserve"> in recent years, </w:t>
      </w:r>
      <w:r w:rsidR="006D3C0F">
        <w:t>with</w:t>
      </w:r>
      <w:r w:rsidR="00163104">
        <w:t xml:space="preserve"> a </w:t>
      </w:r>
      <w:r w:rsidR="00B37FB0">
        <w:t>s</w:t>
      </w:r>
      <w:r w:rsidR="008A4069">
        <w:t>light de</w:t>
      </w:r>
      <w:r w:rsidR="00163104">
        <w:t xml:space="preserve">crease </w:t>
      </w:r>
      <w:r w:rsidR="006D3C0F">
        <w:t xml:space="preserve">over the past year </w:t>
      </w:r>
      <w:r w:rsidR="00163104">
        <w:t xml:space="preserve">(see Diagram </w:t>
      </w:r>
      <w:r w:rsidR="008A4069">
        <w:t>9</w:t>
      </w:r>
      <w:r w:rsidR="00163104">
        <w:t>).</w:t>
      </w:r>
    </w:p>
    <w:p w:rsidR="00AF5B98" w:rsidRDefault="0067206D" w:rsidP="004D53EE">
      <w:r w:rsidRPr="0031203B">
        <w:t xml:space="preserve">The share of </w:t>
      </w:r>
      <w:r w:rsidR="00DD7CC8">
        <w:t>students</w:t>
      </w:r>
      <w:r w:rsidR="007D3990" w:rsidRPr="0031203B">
        <w:t xml:space="preserve"> </w:t>
      </w:r>
      <w:r w:rsidR="007D3990">
        <w:t xml:space="preserve">of </w:t>
      </w:r>
      <w:r w:rsidR="007D3990" w:rsidRPr="0031203B">
        <w:t xml:space="preserve">Ethiopian </w:t>
      </w:r>
      <w:r w:rsidR="007D3990">
        <w:t>origin</w:t>
      </w:r>
      <w:r w:rsidR="007D3990" w:rsidRPr="0031203B">
        <w:t xml:space="preserve"> </w:t>
      </w:r>
      <w:r w:rsidR="00A669BD">
        <w:t>holding</w:t>
      </w:r>
      <w:r w:rsidR="00C33E32" w:rsidRPr="0031203B">
        <w:t xml:space="preserve"> a</w:t>
      </w:r>
      <w:r w:rsidRPr="0031203B">
        <w:t xml:space="preserve"> matriculation certificate </w:t>
      </w:r>
      <w:r w:rsidR="008F02B9">
        <w:t>that met</w:t>
      </w:r>
      <w:r w:rsidRPr="0031203B">
        <w:t xml:space="preserve"> university en</w:t>
      </w:r>
      <w:r w:rsidR="000A1C5E" w:rsidRPr="0031203B">
        <w:t>trance requirements</w:t>
      </w:r>
      <w:r w:rsidR="00990D41">
        <w:t xml:space="preserve"> </w:t>
      </w:r>
      <w:r w:rsidR="00C943CC">
        <w:t xml:space="preserve">(i.e., </w:t>
      </w:r>
      <w:r w:rsidR="001577FD" w:rsidRPr="0031203B">
        <w:t xml:space="preserve">the percentage of potential candidates for </w:t>
      </w:r>
      <w:r w:rsidR="00A578CC">
        <w:t>continued study</w:t>
      </w:r>
      <w:r w:rsidR="001577FD" w:rsidRPr="0031203B">
        <w:t xml:space="preserve"> at institutions of higher education</w:t>
      </w:r>
      <w:r w:rsidR="00C943CC">
        <w:t>)</w:t>
      </w:r>
      <w:r w:rsidR="001577FD" w:rsidRPr="0031203B">
        <w:t xml:space="preserve"> was </w:t>
      </w:r>
      <w:r w:rsidR="00800FF1">
        <w:t>4</w:t>
      </w:r>
      <w:r w:rsidR="008A4069">
        <w:t>4.8</w:t>
      </w:r>
      <w:r w:rsidR="001577FD">
        <w:t>%</w:t>
      </w:r>
      <w:r w:rsidRPr="0031203B">
        <w:t xml:space="preserve">, compared with </w:t>
      </w:r>
      <w:r w:rsidR="00D221DB">
        <w:t>two-thirds (</w:t>
      </w:r>
      <w:r w:rsidR="000E4877">
        <w:t>7</w:t>
      </w:r>
      <w:r w:rsidR="008A4069">
        <w:t>1</w:t>
      </w:r>
      <w:r w:rsidR="000E4877">
        <w:t>.</w:t>
      </w:r>
      <w:r w:rsidR="008A4069">
        <w:t>4</w:t>
      </w:r>
      <w:r w:rsidR="000A1C5E" w:rsidRPr="0031203B">
        <w:t>%</w:t>
      </w:r>
      <w:r w:rsidR="00D221DB">
        <w:t>)</w:t>
      </w:r>
      <w:r w:rsidRPr="0031203B">
        <w:t xml:space="preserve"> </w:t>
      </w:r>
      <w:r w:rsidR="00022375" w:rsidRPr="0031203B">
        <w:t>of</w:t>
      </w:r>
      <w:r w:rsidRPr="0031203B">
        <w:t xml:space="preserve"> </w:t>
      </w:r>
      <w:r w:rsidR="003467BB">
        <w:t xml:space="preserve">the </w:t>
      </w:r>
      <w:r w:rsidR="00B82AA4">
        <w:t>total</w:t>
      </w:r>
      <w:r w:rsidR="003467BB">
        <w:t xml:space="preserve"> number of</w:t>
      </w:r>
      <w:r w:rsidR="00E6529D" w:rsidRPr="0031203B">
        <w:t xml:space="preserve"> </w:t>
      </w:r>
      <w:r w:rsidR="00DD7CC8">
        <w:t>students</w:t>
      </w:r>
      <w:r w:rsidR="00E6529D" w:rsidRPr="0031203B">
        <w:t xml:space="preserve"> </w:t>
      </w:r>
      <w:r w:rsidR="00E6529D" w:rsidRPr="006028FD">
        <w:t xml:space="preserve">in </w:t>
      </w:r>
      <w:r w:rsidR="003467BB" w:rsidRPr="006028FD">
        <w:t xml:space="preserve">the </w:t>
      </w:r>
      <w:r w:rsidRPr="006028FD">
        <w:t>Hebrew education</w:t>
      </w:r>
      <w:r w:rsidR="003467BB" w:rsidRPr="006028FD">
        <w:t xml:space="preserve"> </w:t>
      </w:r>
      <w:r w:rsidR="00CC3F39" w:rsidRPr="006028FD">
        <w:t>sector</w:t>
      </w:r>
      <w:r w:rsidRPr="006028FD">
        <w:t>.</w:t>
      </w:r>
      <w:r w:rsidR="00107C08">
        <w:t xml:space="preserve"> </w:t>
      </w:r>
      <w:r w:rsidR="00521E44">
        <w:t xml:space="preserve">It should be noted, however, that </w:t>
      </w:r>
      <w:r w:rsidR="0094257C">
        <w:t xml:space="preserve">percentage of students eligible for </w:t>
      </w:r>
      <w:r w:rsidR="002248DF">
        <w:t>a matriculation certificate that meets university entrance requirements has been increasing in recent years (see Diagram 9).</w:t>
      </w:r>
    </w:p>
    <w:p w:rsidR="00AF5B98" w:rsidRDefault="00AF5B98">
      <w:pPr>
        <w:spacing w:after="200" w:line="276" w:lineRule="auto"/>
      </w:pPr>
      <w:r>
        <w:br w:type="page"/>
      </w:r>
    </w:p>
    <w:p w:rsidR="008A4069" w:rsidRPr="004D53EE" w:rsidRDefault="008A4069" w:rsidP="004D53EE">
      <w:pPr>
        <w:jc w:val="center"/>
        <w:rPr>
          <w:b/>
          <w:bCs/>
          <w:rtl/>
        </w:rPr>
      </w:pPr>
      <w:r w:rsidRPr="004D53EE">
        <w:rPr>
          <w:b/>
          <w:bCs/>
        </w:rPr>
        <w:t>Diagram 9</w:t>
      </w:r>
      <w:r w:rsidR="000003D2" w:rsidRPr="004D53EE">
        <w:rPr>
          <w:b/>
          <w:bCs/>
        </w:rPr>
        <w:t xml:space="preserve"> -</w:t>
      </w:r>
      <w:r w:rsidRPr="004D53EE">
        <w:rPr>
          <w:b/>
          <w:bCs/>
        </w:rPr>
        <w:t xml:space="preserve"> 12th-Grade Students of Ethiopian Origin</w:t>
      </w:r>
      <w:r w:rsidR="00EC7408" w:rsidRPr="004D53EE">
        <w:rPr>
          <w:b/>
          <w:bCs/>
        </w:rPr>
        <w:br/>
      </w:r>
      <w:r w:rsidR="000F495A" w:rsidRPr="004D53EE">
        <w:rPr>
          <w:b/>
          <w:bCs/>
        </w:rPr>
        <w:t>W</w:t>
      </w:r>
      <w:r w:rsidRPr="004D53EE">
        <w:rPr>
          <w:b/>
          <w:bCs/>
        </w:rPr>
        <w:t>ho Took the Matriculation Exams</w:t>
      </w:r>
    </w:p>
    <w:p w:rsidR="008A4069" w:rsidRDefault="00351A69" w:rsidP="000003D2">
      <w:pPr>
        <w:pStyle w:val="diagram"/>
        <w:spacing w:after="0"/>
      </w:pPr>
      <w:r>
        <w:rPr>
          <w:noProof/>
          <w:lang w:eastAsia="en-US"/>
        </w:rPr>
        <w:drawing>
          <wp:inline distT="0" distB="0" distL="0" distR="0" wp14:anchorId="1B95A2EE" wp14:editId="569853A9">
            <wp:extent cx="5010061" cy="2838615"/>
            <wp:effectExtent l="0" t="0" r="635" b="0"/>
            <wp:docPr id="8" name="Picture 8" descr="Diagram 9 - 12th-Grade Students of Ethiopian Origin who Took the Matriculation Exams" title="Diagram 9 - 12th-Grade Students of Ethiopian Origin who Took the Matriculation Ex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012478" cy="2839984"/>
                    </a:xfrm>
                    <a:prstGeom prst="rect">
                      <a:avLst/>
                    </a:prstGeom>
                    <a:noFill/>
                  </pic:spPr>
                </pic:pic>
              </a:graphicData>
            </a:graphic>
          </wp:inline>
        </w:drawing>
      </w:r>
    </w:p>
    <w:p w:rsidR="00D221DB" w:rsidRPr="0031203B" w:rsidRDefault="00686BCE" w:rsidP="00AF5B98">
      <w:pPr>
        <w:spacing w:before="120"/>
      </w:pPr>
      <w:r w:rsidRPr="00686BCE">
        <w:t xml:space="preserve">The </w:t>
      </w:r>
      <w:r>
        <w:t>percentage</w:t>
      </w:r>
      <w:r w:rsidRPr="00686BCE">
        <w:t xml:space="preserve"> of </w:t>
      </w:r>
      <w:r>
        <w:t xml:space="preserve">those </w:t>
      </w:r>
      <w:r w:rsidRPr="00686BCE">
        <w:t>entitle</w:t>
      </w:r>
      <w:r>
        <w:t>d</w:t>
      </w:r>
      <w:r w:rsidRPr="00686BCE">
        <w:t xml:space="preserve"> to </w:t>
      </w:r>
      <w:r>
        <w:t xml:space="preserve">a </w:t>
      </w:r>
      <w:r w:rsidRPr="00686BCE">
        <w:t xml:space="preserve">matriculation </w:t>
      </w:r>
      <w:r>
        <w:t xml:space="preserve">certificate </w:t>
      </w:r>
      <w:r w:rsidRPr="00686BCE">
        <w:t xml:space="preserve">among </w:t>
      </w:r>
      <w:r w:rsidR="00DD7CC8">
        <w:t>students</w:t>
      </w:r>
      <w:r w:rsidR="007D3990" w:rsidRPr="0031203B">
        <w:t xml:space="preserve"> </w:t>
      </w:r>
      <w:r w:rsidR="007D3990">
        <w:t xml:space="preserve">of </w:t>
      </w:r>
      <w:r w:rsidR="007D3990" w:rsidRPr="0031203B">
        <w:t xml:space="preserve">Ethiopian </w:t>
      </w:r>
      <w:r w:rsidR="007D3990">
        <w:t>origin</w:t>
      </w:r>
      <w:r w:rsidR="007D3990" w:rsidRPr="00686BCE">
        <w:t xml:space="preserve"> </w:t>
      </w:r>
      <w:r w:rsidRPr="00686BCE">
        <w:t xml:space="preserve">who studied in institutions </w:t>
      </w:r>
      <w:r>
        <w:t xml:space="preserve">with </w:t>
      </w:r>
      <w:r w:rsidR="00CC3F39">
        <w:t>State</w:t>
      </w:r>
      <w:r>
        <w:t>-</w:t>
      </w:r>
      <w:r w:rsidR="00A669BD">
        <w:t>r</w:t>
      </w:r>
      <w:r w:rsidRPr="00686BCE">
        <w:t xml:space="preserve">eligious supervision </w:t>
      </w:r>
      <w:r>
        <w:t xml:space="preserve">was </w:t>
      </w:r>
      <w:r w:rsidR="009B1770">
        <w:t>7</w:t>
      </w:r>
      <w:r w:rsidR="008A4069">
        <w:t>0</w:t>
      </w:r>
      <w:r w:rsidR="009B1770">
        <w:t>.</w:t>
      </w:r>
      <w:r w:rsidR="008A4069">
        <w:t>9</w:t>
      </w:r>
      <w:r w:rsidRPr="00686BCE">
        <w:t xml:space="preserve">%, compared with </w:t>
      </w:r>
      <w:r w:rsidR="008A4069">
        <w:t>59</w:t>
      </w:r>
      <w:r w:rsidR="009B1770">
        <w:t>.</w:t>
      </w:r>
      <w:r w:rsidR="008A4069">
        <w:t>7</w:t>
      </w:r>
      <w:r w:rsidRPr="00686BCE">
        <w:t xml:space="preserve">% among those who studied in institutions </w:t>
      </w:r>
      <w:r w:rsidR="00253764">
        <w:t xml:space="preserve">under </w:t>
      </w:r>
      <w:r w:rsidR="00CC3F39">
        <w:t>State</w:t>
      </w:r>
      <w:r w:rsidR="00CC3F39" w:rsidRPr="00686BCE">
        <w:t xml:space="preserve"> </w:t>
      </w:r>
      <w:r w:rsidRPr="00686BCE">
        <w:t xml:space="preserve">supervision. </w:t>
      </w:r>
      <w:r w:rsidR="00253764">
        <w:t xml:space="preserve">Moreover, </w:t>
      </w:r>
      <w:r w:rsidR="008A4069">
        <w:t>51.4</w:t>
      </w:r>
      <w:r w:rsidRPr="00686BCE">
        <w:t xml:space="preserve">% </w:t>
      </w:r>
      <w:r>
        <w:t xml:space="preserve">of those </w:t>
      </w:r>
      <w:r w:rsidRPr="00686BCE">
        <w:t xml:space="preserve">under </w:t>
      </w:r>
      <w:r w:rsidR="00CC3F39">
        <w:t xml:space="preserve">State </w:t>
      </w:r>
      <w:r w:rsidRPr="00686BCE">
        <w:t>supervision</w:t>
      </w:r>
      <w:r w:rsidR="009E76ED">
        <w:t xml:space="preserve"> met </w:t>
      </w:r>
      <w:r w:rsidR="00253764" w:rsidRPr="0031203B">
        <w:t>university entrance requirements</w:t>
      </w:r>
      <w:r w:rsidRPr="00686BCE">
        <w:t xml:space="preserve">, compared with </w:t>
      </w:r>
      <w:r w:rsidR="008A4069">
        <w:t>40.1</w:t>
      </w:r>
      <w:r w:rsidRPr="00686BCE">
        <w:t xml:space="preserve">% </w:t>
      </w:r>
      <w:r>
        <w:t xml:space="preserve">of those under </w:t>
      </w:r>
      <w:r w:rsidR="009E76ED">
        <w:t>State-religious</w:t>
      </w:r>
      <w:r w:rsidR="009E76ED" w:rsidRPr="00686BCE">
        <w:t xml:space="preserve"> </w:t>
      </w:r>
      <w:r w:rsidRPr="00686BCE">
        <w:t>supervision.</w:t>
      </w:r>
    </w:p>
    <w:p w:rsidR="003E19C5" w:rsidRDefault="000A1C5E" w:rsidP="004D53EE">
      <w:r w:rsidRPr="0031203B">
        <w:t>In 201</w:t>
      </w:r>
      <w:r w:rsidR="00824D69">
        <w:t>8</w:t>
      </w:r>
      <w:r w:rsidR="00067D8C">
        <w:t>/19</w:t>
      </w:r>
      <w:r w:rsidRPr="0031203B">
        <w:t>, t</w:t>
      </w:r>
      <w:r w:rsidR="0067206D" w:rsidRPr="0031203B">
        <w:t>he share of the second</w:t>
      </w:r>
      <w:r w:rsidR="00E6529D" w:rsidRPr="0031203B">
        <w:t>-</w:t>
      </w:r>
      <w:r w:rsidR="0067206D" w:rsidRPr="0031203B">
        <w:t>generation</w:t>
      </w:r>
      <w:r w:rsidR="00E6529D" w:rsidRPr="0031203B">
        <w:t xml:space="preserve"> </w:t>
      </w:r>
      <w:r w:rsidR="00DD7CC8">
        <w:t>students</w:t>
      </w:r>
      <w:r w:rsidR="007D3990" w:rsidRPr="0031203B">
        <w:t xml:space="preserve"> </w:t>
      </w:r>
      <w:r w:rsidR="007D3990">
        <w:t xml:space="preserve">of </w:t>
      </w:r>
      <w:r w:rsidR="007D3990" w:rsidRPr="0031203B">
        <w:t xml:space="preserve">Ethiopian </w:t>
      </w:r>
      <w:r w:rsidR="007D3990">
        <w:t>origin</w:t>
      </w:r>
      <w:r w:rsidR="0067206D" w:rsidRPr="0031203B">
        <w:t xml:space="preserve"> (those born in Israel whose father</w:t>
      </w:r>
      <w:r w:rsidR="00590833">
        <w:t>s</w:t>
      </w:r>
      <w:r w:rsidR="0067206D" w:rsidRPr="0031203B">
        <w:t xml:space="preserve"> w</w:t>
      </w:r>
      <w:r w:rsidR="00590833">
        <w:t>ere</w:t>
      </w:r>
      <w:r w:rsidR="0067206D" w:rsidRPr="0031203B">
        <w:t xml:space="preserve"> born in Ethiopia) </w:t>
      </w:r>
      <w:r w:rsidRPr="0031203B">
        <w:t>was</w:t>
      </w:r>
      <w:r w:rsidR="0067206D" w:rsidRPr="0031203B">
        <w:t xml:space="preserve"> </w:t>
      </w:r>
      <w:r w:rsidR="00067D8C">
        <w:rPr>
          <w:rFonts w:hint="cs"/>
          <w:rtl/>
        </w:rPr>
        <w:t>61</w:t>
      </w:r>
      <w:r w:rsidR="00824D69">
        <w:t>.</w:t>
      </w:r>
      <w:r w:rsidR="00067D8C">
        <w:rPr>
          <w:rFonts w:hint="cs"/>
          <w:rtl/>
        </w:rPr>
        <w:t>2</w:t>
      </w:r>
      <w:r w:rsidR="0067206D" w:rsidRPr="0031203B">
        <w:t xml:space="preserve">% of </w:t>
      </w:r>
      <w:r w:rsidR="00E6529D" w:rsidRPr="0031203B">
        <w:t>all</w:t>
      </w:r>
      <w:r w:rsidR="0067206D" w:rsidRPr="0031203B">
        <w:t xml:space="preserve"> </w:t>
      </w:r>
      <w:bookmarkStart w:id="1" w:name="OLE_LINK2"/>
      <w:r w:rsidR="0067206D" w:rsidRPr="0031203B">
        <w:t>12</w:t>
      </w:r>
      <w:r w:rsidR="0067206D" w:rsidRPr="00A669BD">
        <w:t>th</w:t>
      </w:r>
      <w:r w:rsidR="00CC3F39">
        <w:t xml:space="preserve"> </w:t>
      </w:r>
      <w:r w:rsidR="0067206D" w:rsidRPr="0031203B">
        <w:t xml:space="preserve">grade </w:t>
      </w:r>
      <w:r w:rsidRPr="0031203B">
        <w:t>s</w:t>
      </w:r>
      <w:bookmarkEnd w:id="1"/>
      <w:r w:rsidR="00E6529D" w:rsidRPr="0031203B">
        <w:t>tudents</w:t>
      </w:r>
      <w:r w:rsidR="00717016">
        <w:t xml:space="preserve"> of Ethiopian origin</w:t>
      </w:r>
      <w:r w:rsidR="0067206D" w:rsidRPr="0031203B">
        <w:t>. The percentage</w:t>
      </w:r>
      <w:r w:rsidRPr="0031203B">
        <w:t>s</w:t>
      </w:r>
      <w:r w:rsidR="0067206D" w:rsidRPr="0031203B">
        <w:t xml:space="preserve"> of </w:t>
      </w:r>
      <w:r w:rsidR="00A669BD" w:rsidRPr="0031203B">
        <w:t>12</w:t>
      </w:r>
      <w:r w:rsidR="00A669BD" w:rsidRPr="00A669BD">
        <w:t>th</w:t>
      </w:r>
      <w:r w:rsidR="00066E07" w:rsidRPr="0031203B">
        <w:t>-</w:t>
      </w:r>
      <w:r w:rsidR="005277C6" w:rsidRPr="0031203B">
        <w:t xml:space="preserve">grade </w:t>
      </w:r>
      <w:r w:rsidR="00DD7CC8">
        <w:t>students</w:t>
      </w:r>
      <w:r w:rsidR="007D3990" w:rsidRPr="0031203B">
        <w:t xml:space="preserve"> </w:t>
      </w:r>
      <w:r w:rsidR="007D3990">
        <w:t xml:space="preserve">of </w:t>
      </w:r>
      <w:r w:rsidR="007D3990" w:rsidRPr="0031203B">
        <w:t xml:space="preserve">Ethiopian </w:t>
      </w:r>
      <w:r w:rsidR="007D3990">
        <w:t>origin</w:t>
      </w:r>
      <w:r w:rsidR="007D3990" w:rsidRPr="0031203B">
        <w:t xml:space="preserve"> </w:t>
      </w:r>
      <w:r w:rsidR="004C5C2C">
        <w:t xml:space="preserve">who were </w:t>
      </w:r>
      <w:r w:rsidR="0067206D" w:rsidRPr="0031203B">
        <w:t xml:space="preserve">entitled to a matriculation certificate </w:t>
      </w:r>
      <w:r w:rsidR="007A1B72" w:rsidRPr="0031203B">
        <w:fldChar w:fldCharType="begin"/>
      </w:r>
      <w:r w:rsidR="007A1B72" w:rsidRPr="0031203B">
        <w:instrText xml:space="preserve"> </w:instrText>
      </w:r>
      <w:r w:rsidRPr="0031203B">
        <w:fldChar w:fldCharType="begin"/>
      </w:r>
      <w:r w:rsidRPr="0031203B">
        <w:instrText xml:space="preserve"> LINK </w:instrText>
      </w:r>
      <w:r w:rsidR="001D4A6D" w:rsidRPr="0031203B">
        <w:instrText xml:space="preserve">Word.Document.12 "\\\\fs\\hf\\alizab\\press releases\\Population\\Ethiopians\\Ethiopian Population 2015_AEB.docx" OLE_LINK2 </w:instrText>
      </w:r>
      <w:r w:rsidRPr="0031203B">
        <w:instrText xml:space="preserve">\a \r </w:instrText>
      </w:r>
      <w:r w:rsidR="0031203B" w:rsidRPr="0031203B">
        <w:instrText xml:space="preserve"> \* MERGEFORMAT </w:instrText>
      </w:r>
      <w:r w:rsidRPr="0031203B">
        <w:fldChar w:fldCharType="separate"/>
      </w:r>
      <w:r w:rsidR="007A1B72" w:rsidRPr="0031203B">
        <w:instrText>Ethiopian 12th grade pupils</w:instrText>
      </w:r>
      <w:r w:rsidRPr="0031203B">
        <w:fldChar w:fldCharType="end"/>
      </w:r>
      <w:r w:rsidR="007A1B72" w:rsidRPr="0031203B">
        <w:instrText xml:space="preserve"> </w:instrText>
      </w:r>
      <w:r w:rsidR="007A1B72" w:rsidRPr="0031203B">
        <w:fldChar w:fldCharType="end"/>
      </w:r>
      <w:r w:rsidRPr="0031203B">
        <w:t xml:space="preserve">were </w:t>
      </w:r>
      <w:r w:rsidR="00067D8C">
        <w:rPr>
          <w:rFonts w:hint="cs"/>
          <w:rtl/>
        </w:rPr>
        <w:t>65</w:t>
      </w:r>
      <w:r w:rsidR="00824D69">
        <w:t>.</w:t>
      </w:r>
      <w:r w:rsidR="00067D8C">
        <w:rPr>
          <w:rFonts w:hint="cs"/>
          <w:rtl/>
        </w:rPr>
        <w:t>5</w:t>
      </w:r>
      <w:r w:rsidR="005277C6" w:rsidRPr="0031203B">
        <w:t>%</w:t>
      </w:r>
      <w:r w:rsidR="0067206D" w:rsidRPr="0031203B">
        <w:t xml:space="preserve"> </w:t>
      </w:r>
      <w:r w:rsidR="003506FF">
        <w:t>of</w:t>
      </w:r>
      <w:r w:rsidR="0067206D" w:rsidRPr="0031203B">
        <w:t xml:space="preserve"> </w:t>
      </w:r>
      <w:r w:rsidR="005277C6" w:rsidRPr="0031203B">
        <w:t xml:space="preserve">those born in </w:t>
      </w:r>
      <w:r w:rsidR="0067206D" w:rsidRPr="0031203B">
        <w:t xml:space="preserve">Ethiopia </w:t>
      </w:r>
      <w:r w:rsidRPr="0031203B">
        <w:t>and</w:t>
      </w:r>
      <w:r w:rsidR="0067206D" w:rsidRPr="0031203B">
        <w:t xml:space="preserve"> </w:t>
      </w:r>
      <w:r w:rsidR="00824D69">
        <w:t>6</w:t>
      </w:r>
      <w:r w:rsidR="00067D8C">
        <w:rPr>
          <w:rFonts w:hint="cs"/>
          <w:rtl/>
        </w:rPr>
        <w:t>3</w:t>
      </w:r>
      <w:r w:rsidR="00824D69">
        <w:t>.</w:t>
      </w:r>
      <w:r w:rsidR="00067D8C">
        <w:rPr>
          <w:rFonts w:hint="cs"/>
          <w:rtl/>
        </w:rPr>
        <w:t>4</w:t>
      </w:r>
      <w:r w:rsidR="005277C6" w:rsidRPr="0031203B">
        <w:t>% among</w:t>
      </w:r>
      <w:r w:rsidR="0067206D" w:rsidRPr="0031203B">
        <w:t xml:space="preserve"> second</w:t>
      </w:r>
      <w:r w:rsidR="005277C6" w:rsidRPr="0031203B">
        <w:t>-</w:t>
      </w:r>
      <w:r w:rsidR="0067206D" w:rsidRPr="0031203B">
        <w:t xml:space="preserve">generation </w:t>
      </w:r>
      <w:r w:rsidR="00DD7CC8">
        <w:t>students</w:t>
      </w:r>
      <w:r w:rsidR="007D3990" w:rsidRPr="0031203B">
        <w:t xml:space="preserve"> </w:t>
      </w:r>
      <w:r w:rsidR="007D3990">
        <w:t xml:space="preserve">of </w:t>
      </w:r>
      <w:r w:rsidR="007D3990" w:rsidRPr="0031203B">
        <w:t xml:space="preserve">Ethiopian </w:t>
      </w:r>
      <w:r w:rsidR="007D3990">
        <w:t>origin</w:t>
      </w:r>
      <w:r w:rsidR="0067206D" w:rsidRPr="0031203B">
        <w:t xml:space="preserve">. </w:t>
      </w:r>
      <w:r w:rsidR="00E32455">
        <w:t>T</w:t>
      </w:r>
      <w:r w:rsidR="0067206D" w:rsidRPr="0031203B">
        <w:t xml:space="preserve">he percentage of those </w:t>
      </w:r>
      <w:r w:rsidR="005277C6" w:rsidRPr="0031203B">
        <w:t xml:space="preserve">who </w:t>
      </w:r>
      <w:r w:rsidR="0067206D" w:rsidRPr="0031203B">
        <w:t>met university entrance requirements</w:t>
      </w:r>
      <w:r w:rsidR="001577FD">
        <w:t xml:space="preserve"> </w:t>
      </w:r>
      <w:r w:rsidR="0067206D" w:rsidRPr="0031203B">
        <w:t xml:space="preserve">was higher among the second generation </w:t>
      </w:r>
      <w:r w:rsidR="00B0063E">
        <w:t>–</w:t>
      </w:r>
      <w:r w:rsidR="0067206D" w:rsidRPr="0031203B">
        <w:t xml:space="preserve"> </w:t>
      </w:r>
      <w:r w:rsidR="00824D69">
        <w:t>4</w:t>
      </w:r>
      <w:r w:rsidR="00067D8C">
        <w:t>6</w:t>
      </w:r>
      <w:r w:rsidR="00824D69">
        <w:t>.</w:t>
      </w:r>
      <w:r w:rsidR="00067D8C">
        <w:t>8</w:t>
      </w:r>
      <w:r w:rsidR="0067206D" w:rsidRPr="0031203B">
        <w:t>%</w:t>
      </w:r>
      <w:r w:rsidR="00D408DE">
        <w:t xml:space="preserve"> </w:t>
      </w:r>
      <w:r w:rsidR="00B0063E">
        <w:t>–</w:t>
      </w:r>
      <w:r w:rsidR="0067206D" w:rsidRPr="0031203B">
        <w:t xml:space="preserve"> compared with </w:t>
      </w:r>
      <w:r w:rsidR="00067D8C">
        <w:t>41</w:t>
      </w:r>
      <w:r w:rsidR="00824D69">
        <w:t>.</w:t>
      </w:r>
      <w:r w:rsidR="00067D8C">
        <w:t>6</w:t>
      </w:r>
      <w:r w:rsidR="0067206D" w:rsidRPr="0031203B">
        <w:t xml:space="preserve">% among those </w:t>
      </w:r>
      <w:r w:rsidR="00FB4040">
        <w:t>born in Ethiopia.</w:t>
      </w:r>
    </w:p>
    <w:p w:rsidR="00DB36CC" w:rsidRDefault="003E19C5" w:rsidP="003E19C5">
      <w:pPr>
        <w:spacing w:after="200" w:line="276" w:lineRule="auto"/>
      </w:pPr>
      <w:r>
        <w:br w:type="page"/>
      </w:r>
    </w:p>
    <w:p w:rsidR="008E0F6B" w:rsidRPr="00D11AEE" w:rsidRDefault="00FB4040" w:rsidP="000F495A">
      <w:pPr>
        <w:pStyle w:val="Heading2"/>
      </w:pPr>
      <w:r w:rsidRPr="00D11AEE">
        <w:t>S</w:t>
      </w:r>
      <w:r w:rsidR="008E0F6B" w:rsidRPr="00D11AEE">
        <w:t xml:space="preserve">tudents of Ethiopian Origin in </w:t>
      </w:r>
      <w:r w:rsidR="000A19B7" w:rsidRPr="00D11AEE">
        <w:t>Pre-Academic Preparatory Programs (2017/18)</w:t>
      </w:r>
    </w:p>
    <w:p w:rsidR="000A19B7" w:rsidRPr="00A468C3" w:rsidRDefault="000A19B7" w:rsidP="004D53EE">
      <w:r w:rsidRPr="00A468C3">
        <w:t>In the 2017/18 academic year, 721 students of Ethiopian origin</w:t>
      </w:r>
      <w:r w:rsidR="00D5051D" w:rsidRPr="00A468C3">
        <w:rPr>
          <w:rStyle w:val="FootnoteReference"/>
        </w:rPr>
        <w:footnoteReference w:id="13"/>
      </w:r>
      <w:r w:rsidRPr="00A468C3">
        <w:t xml:space="preserve"> were enrolled in pre-academic programs</w:t>
      </w:r>
      <w:r w:rsidR="00D11AEE" w:rsidRPr="00A468C3">
        <w:t xml:space="preserve"> –</w:t>
      </w:r>
      <w:r w:rsidR="00FB4040" w:rsidRPr="00A468C3">
        <w:t xml:space="preserve"> 75.7% women and 24.3% men. There were 281 students</w:t>
      </w:r>
      <w:r w:rsidR="00934567" w:rsidRPr="00A468C3">
        <w:t xml:space="preserve"> (39%)</w:t>
      </w:r>
      <w:r w:rsidR="00FB4040" w:rsidRPr="00A468C3">
        <w:t xml:space="preserve"> in the designated track, 417 students (57.8%) in the track to complete matriculation and improve matriculation scores, 19 students (2.6%) in </w:t>
      </w:r>
      <w:r w:rsidR="00D55835" w:rsidRPr="00A468C3">
        <w:t>the track to prepare for the pre-academic preparatory program; and 4 students (0.6%) in the track to complete 12 years of schooling.</w:t>
      </w:r>
    </w:p>
    <w:p w:rsidR="00A468C3" w:rsidRPr="00D5051D" w:rsidRDefault="00D55835" w:rsidP="00290796">
      <w:pPr>
        <w:pStyle w:val="Heading2"/>
      </w:pPr>
      <w:r w:rsidRPr="00D5051D">
        <w:t xml:space="preserve">Continuation of Studies </w:t>
      </w:r>
      <w:r w:rsidR="00AF7749" w:rsidRPr="00D5051D">
        <w:t>Toward</w:t>
      </w:r>
      <w:r w:rsidR="00C341F4">
        <w:t>s</w:t>
      </w:r>
      <w:r w:rsidR="00AF7749" w:rsidRPr="00D5051D">
        <w:t xml:space="preserve"> a First Degree </w:t>
      </w:r>
      <w:r w:rsidRPr="00D5051D">
        <w:t>in 2010/11</w:t>
      </w:r>
      <w:r w:rsidR="00AF7749" w:rsidRPr="00D5051D">
        <w:t xml:space="preserve"> </w:t>
      </w:r>
      <w:r w:rsidR="008B3099" w:rsidRPr="00D5051D">
        <w:t xml:space="preserve">within Eight Years of Graduating High School </w:t>
      </w:r>
      <w:r w:rsidR="00AF7749" w:rsidRPr="00D5051D">
        <w:t>Among Secondary School Graduates of Ethiopian Origin</w:t>
      </w:r>
      <w:r w:rsidR="00D5051D" w:rsidRPr="00D5051D">
        <w:t xml:space="preserve"> (Tracking Until 2018/19)</w:t>
      </w:r>
    </w:p>
    <w:p w:rsidR="00970290" w:rsidRPr="0045297D" w:rsidRDefault="000B52BD" w:rsidP="004D53EE">
      <w:r w:rsidRPr="00970290">
        <w:t>O</w:t>
      </w:r>
      <w:r w:rsidR="00D55835" w:rsidRPr="00970290">
        <w:t xml:space="preserve">nly 21.7% </w:t>
      </w:r>
      <w:r w:rsidR="00E11AE0">
        <w:t xml:space="preserve">of </w:t>
      </w:r>
      <w:r w:rsidR="00231EA4">
        <w:t>secondary</w:t>
      </w:r>
      <w:r w:rsidR="00E11AE0">
        <w:t xml:space="preserve">-school graduates of Ethiopian origin </w:t>
      </w:r>
      <w:r w:rsidR="003E73BB">
        <w:t>went on to study</w:t>
      </w:r>
      <w:r w:rsidR="00CB0713" w:rsidRPr="00970290">
        <w:t xml:space="preserve"> </w:t>
      </w:r>
      <w:r w:rsidR="003E73BB">
        <w:t>for</w:t>
      </w:r>
      <w:r w:rsidR="00CB0713" w:rsidRPr="00970290">
        <w:t xml:space="preserve"> a first degree</w:t>
      </w:r>
      <w:r w:rsidRPr="00970290">
        <w:t xml:space="preserve"> within eight years of completing secondary school, compared with 47.2% of all secondary school graduates in Hebrew education.</w:t>
      </w:r>
    </w:p>
    <w:p w:rsidR="00003041" w:rsidRPr="0045297D" w:rsidRDefault="000B52BD" w:rsidP="004D53EE">
      <w:pPr>
        <w:rPr>
          <w:rtl/>
        </w:rPr>
      </w:pPr>
      <w:r w:rsidRPr="00B74A9E">
        <w:t xml:space="preserve">The percentage of Israeli-born students </w:t>
      </w:r>
      <w:r w:rsidR="00970290" w:rsidRPr="00B74A9E">
        <w:t>of Ethiopian origin (</w:t>
      </w:r>
      <w:r w:rsidRPr="00B74A9E">
        <w:t xml:space="preserve">with at least one </w:t>
      </w:r>
      <w:r w:rsidR="00AA0C02" w:rsidRPr="00B74A9E">
        <w:t>parent who was born in Ethiopia</w:t>
      </w:r>
      <w:r w:rsidR="00970290" w:rsidRPr="00B74A9E">
        <w:t>)</w:t>
      </w:r>
      <w:r w:rsidRPr="00B74A9E">
        <w:t xml:space="preserve"> was slightly higher </w:t>
      </w:r>
      <w:r w:rsidR="00AD5F13" w:rsidRPr="00B74A9E">
        <w:t xml:space="preserve">than the percentage of Ethiopian-born students </w:t>
      </w:r>
      <w:r w:rsidRPr="00B74A9E">
        <w:t>(22.8% versus 20.3%, respectively)</w:t>
      </w:r>
      <w:r w:rsidR="00970290" w:rsidRPr="00B74A9E">
        <w:t>.</w:t>
      </w:r>
    </w:p>
    <w:p w:rsidR="003E19C5" w:rsidRDefault="004C5814" w:rsidP="004D53EE">
      <w:r>
        <w:t>The percentage of students of Ethiopian origin who atte</w:t>
      </w:r>
      <w:r w:rsidR="00EB06E7">
        <w:t>nded universities</w:t>
      </w:r>
      <w:r>
        <w:t xml:space="preserve">, </w:t>
      </w:r>
      <w:r w:rsidR="00626558">
        <w:t>out of</w:t>
      </w:r>
      <w:r>
        <w:t xml:space="preserve"> the total number of persons of Ethiopian origin who </w:t>
      </w:r>
      <w:r w:rsidR="00EB06E7">
        <w:t>went on to study for a first degree, was lower than the percentage of the total number of students in the Hebrew education sector who went on to study for a first degree at universities (</w:t>
      </w:r>
      <w:r w:rsidR="00903719">
        <w:t xml:space="preserve">26.5% versus 35.8%, respectively). By contrast, the percentage of </w:t>
      </w:r>
      <w:r w:rsidR="00E54068">
        <w:t>those who went on to study for a first degree</w:t>
      </w:r>
      <w:r w:rsidR="002827C2">
        <w:t xml:space="preserve"> at</w:t>
      </w:r>
      <w:r w:rsidR="00CE73B1">
        <w:t xml:space="preserve"> academic colleges </w:t>
      </w:r>
      <w:r w:rsidR="00972883">
        <w:t xml:space="preserve">was higher </w:t>
      </w:r>
      <w:r w:rsidR="00CE73B1">
        <w:t xml:space="preserve">among persons of Ethiopian origin </w:t>
      </w:r>
      <w:r w:rsidR="00CF2973">
        <w:t xml:space="preserve">than </w:t>
      </w:r>
      <w:r w:rsidR="007843C0">
        <w:t xml:space="preserve">the percentage of </w:t>
      </w:r>
      <w:r w:rsidR="00D061A9">
        <w:t xml:space="preserve">all students </w:t>
      </w:r>
      <w:r w:rsidR="006422A8">
        <w:t>in the Hebrew education sector</w:t>
      </w:r>
      <w:r w:rsidR="006C233B">
        <w:t xml:space="preserve"> </w:t>
      </w:r>
      <w:r w:rsidR="006422A8">
        <w:t>(51.0% versus 40.4%, respectively).</w:t>
      </w:r>
    </w:p>
    <w:p w:rsidR="003E19C5" w:rsidRDefault="003E19C5">
      <w:pPr>
        <w:spacing w:after="200" w:line="276" w:lineRule="auto"/>
      </w:pPr>
      <w:r>
        <w:br w:type="page"/>
      </w:r>
    </w:p>
    <w:p w:rsidR="00377E83" w:rsidRPr="004D53EE" w:rsidRDefault="00377E83" w:rsidP="004D53EE">
      <w:pPr>
        <w:jc w:val="center"/>
        <w:rPr>
          <w:b/>
          <w:bCs/>
          <w:rtl/>
        </w:rPr>
      </w:pPr>
      <w:r w:rsidRPr="004D53EE">
        <w:rPr>
          <w:b/>
          <w:bCs/>
        </w:rPr>
        <w:t>Table D</w:t>
      </w:r>
      <w:r w:rsidR="00C618C4" w:rsidRPr="004D53EE">
        <w:rPr>
          <w:b/>
          <w:bCs/>
        </w:rPr>
        <w:t xml:space="preserve"> -</w:t>
      </w:r>
      <w:r w:rsidRPr="004D53EE">
        <w:rPr>
          <w:b/>
          <w:bCs/>
        </w:rPr>
        <w:t xml:space="preserve"> Continuation of Studies Toward</w:t>
      </w:r>
      <w:r w:rsidR="00C341F4" w:rsidRPr="004D53EE">
        <w:rPr>
          <w:b/>
          <w:bCs/>
        </w:rPr>
        <w:t>s</w:t>
      </w:r>
      <w:r w:rsidRPr="004D53EE">
        <w:rPr>
          <w:b/>
          <w:bCs/>
        </w:rPr>
        <w:t xml:space="preserve"> a First Degree Among Secondary School Graduates of Ethiopian Origin Among All Secondary School Graduates of Ethiopian Origin and Among All Secondary School Graduates in 2010/11 Within Eight Years of Secondary School Graduation, By Typ</w:t>
      </w:r>
      <w:r w:rsidR="004365F9" w:rsidRPr="004D53EE">
        <w:rPr>
          <w:b/>
          <w:bCs/>
        </w:rPr>
        <w:t>e</w:t>
      </w:r>
      <w:r w:rsidRPr="004D53EE">
        <w:rPr>
          <w:b/>
          <w:bCs/>
        </w:rPr>
        <w:t xml:space="preserve"> of </w:t>
      </w:r>
      <w:r w:rsidR="004365F9" w:rsidRPr="004D53EE">
        <w:rPr>
          <w:b/>
          <w:bCs/>
        </w:rPr>
        <w:t xml:space="preserve">Higher Education </w:t>
      </w:r>
      <w:r w:rsidRPr="004D53EE">
        <w:rPr>
          <w:b/>
          <w:bCs/>
        </w:rPr>
        <w:t>Institution</w:t>
      </w:r>
    </w:p>
    <w:tbl>
      <w:tblPr>
        <w:tblStyle w:val="TableGrid"/>
        <w:tblW w:w="10326" w:type="dxa"/>
        <w:jc w:val="center"/>
        <w:tblLook w:val="04A0" w:firstRow="1" w:lastRow="0" w:firstColumn="1" w:lastColumn="0" w:noHBand="0" w:noVBand="1"/>
        <w:tblCaption w:val="Table D - Continuation of Studies Towards a First Degree Among Secondary School Graduates of Ethiopian Origin Among All Secondary School Graduates of Ethiopian Origin and Among All Secondary School Graduates in 2010/11 Within Eight Years of Secondary School Graduation, By Type of Higher Education Institution"/>
        <w:tblDescription w:val="Table D - Continuation of Studies Towards a First Degree Among Secondary School Graduates of Ethiopian Origin Among All Secondary School Graduates of Ethiopian Origin and Among All Secondary School Graduates in 2010/11 Within Eight Years of Secondary School Graduation, By Type of Higher Education Institution"/>
      </w:tblPr>
      <w:tblGrid>
        <w:gridCol w:w="4279"/>
        <w:gridCol w:w="1617"/>
        <w:gridCol w:w="1465"/>
        <w:gridCol w:w="1552"/>
        <w:gridCol w:w="1413"/>
      </w:tblGrid>
      <w:tr w:rsidR="009550BB" w:rsidTr="00D25900">
        <w:trPr>
          <w:tblHeader/>
          <w:jc w:val="center"/>
        </w:trPr>
        <w:tc>
          <w:tcPr>
            <w:tcW w:w="4279" w:type="dxa"/>
            <w:shd w:val="clear" w:color="auto" w:fill="D9D9D9" w:themeFill="background1" w:themeFillShade="D9"/>
          </w:tcPr>
          <w:p w:rsidR="00003041" w:rsidRPr="004F7ED8" w:rsidRDefault="00D25900" w:rsidP="00364E67">
            <w:pPr>
              <w:spacing w:line="240" w:lineRule="auto"/>
              <w:rPr>
                <w:highlight w:val="yellow"/>
              </w:rPr>
            </w:pPr>
            <w:r w:rsidRPr="00D25900">
              <w:t>-</w:t>
            </w:r>
          </w:p>
        </w:tc>
        <w:tc>
          <w:tcPr>
            <w:tcW w:w="1617" w:type="dxa"/>
            <w:tcBorders>
              <w:right w:val="single" w:sz="18" w:space="0" w:color="auto"/>
            </w:tcBorders>
            <w:shd w:val="clear" w:color="auto" w:fill="D9D9D9" w:themeFill="background1" w:themeFillShade="D9"/>
            <w:vAlign w:val="center"/>
          </w:tcPr>
          <w:p w:rsidR="00003041" w:rsidRPr="009550BB" w:rsidRDefault="00C3164F" w:rsidP="00364E67">
            <w:pPr>
              <w:spacing w:line="240" w:lineRule="auto"/>
              <w:rPr>
                <w:b/>
                <w:bCs/>
              </w:rPr>
            </w:pPr>
            <w:r>
              <w:rPr>
                <w:b/>
                <w:bCs/>
              </w:rPr>
              <w:t>Hebrew education – total</w:t>
            </w:r>
          </w:p>
        </w:tc>
        <w:tc>
          <w:tcPr>
            <w:tcW w:w="1465" w:type="dxa"/>
            <w:tcBorders>
              <w:left w:val="single" w:sz="18" w:space="0" w:color="auto"/>
            </w:tcBorders>
            <w:shd w:val="clear" w:color="auto" w:fill="D9D9D9" w:themeFill="background1" w:themeFillShade="D9"/>
            <w:vAlign w:val="center"/>
          </w:tcPr>
          <w:p w:rsidR="00003041" w:rsidRPr="009550BB" w:rsidRDefault="00C3164F" w:rsidP="00364E67">
            <w:pPr>
              <w:spacing w:line="240" w:lineRule="auto"/>
              <w:rPr>
                <w:b/>
                <w:bCs/>
                <w:highlight w:val="yellow"/>
              </w:rPr>
            </w:pPr>
            <w:r>
              <w:rPr>
                <w:b/>
                <w:bCs/>
              </w:rPr>
              <w:t>All persons of Ethiopian origin</w:t>
            </w:r>
          </w:p>
        </w:tc>
        <w:tc>
          <w:tcPr>
            <w:tcW w:w="1552" w:type="dxa"/>
            <w:shd w:val="clear" w:color="auto" w:fill="D9D9D9" w:themeFill="background1" w:themeFillShade="D9"/>
            <w:vAlign w:val="center"/>
          </w:tcPr>
          <w:p w:rsidR="00003041" w:rsidRPr="004F7ED8" w:rsidRDefault="0078751E" w:rsidP="00364E67">
            <w:pPr>
              <w:spacing w:line="240" w:lineRule="auto"/>
              <w:rPr>
                <w:highlight w:val="yellow"/>
              </w:rPr>
            </w:pPr>
            <w:r w:rsidRPr="00ED18E2">
              <w:t>Ethiopian-born</w:t>
            </w:r>
          </w:p>
        </w:tc>
        <w:tc>
          <w:tcPr>
            <w:tcW w:w="1413" w:type="dxa"/>
            <w:shd w:val="clear" w:color="auto" w:fill="D9D9D9" w:themeFill="background1" w:themeFillShade="D9"/>
            <w:vAlign w:val="center"/>
          </w:tcPr>
          <w:p w:rsidR="00003041" w:rsidRPr="004F7ED8" w:rsidRDefault="0078751E" w:rsidP="00364E67">
            <w:pPr>
              <w:spacing w:line="240" w:lineRule="auto"/>
              <w:rPr>
                <w:highlight w:val="yellow"/>
                <w:rtl/>
              </w:rPr>
            </w:pPr>
            <w:r w:rsidRPr="00ED18E2">
              <w:t>Israeli-born persons of Ethiopian origin</w:t>
            </w:r>
          </w:p>
        </w:tc>
      </w:tr>
      <w:tr w:rsidR="009550BB" w:rsidTr="00D25900">
        <w:trPr>
          <w:jc w:val="center"/>
        </w:trPr>
        <w:tc>
          <w:tcPr>
            <w:tcW w:w="4279" w:type="dxa"/>
            <w:tcBorders>
              <w:bottom w:val="single" w:sz="4" w:space="0" w:color="auto"/>
            </w:tcBorders>
            <w:vAlign w:val="center"/>
          </w:tcPr>
          <w:p w:rsidR="00FD5AB0" w:rsidRPr="00755197" w:rsidRDefault="00FD5AB0" w:rsidP="00364E67">
            <w:pPr>
              <w:spacing w:line="240" w:lineRule="auto"/>
            </w:pPr>
            <w:r w:rsidRPr="00755197">
              <w:t xml:space="preserve">Total </w:t>
            </w:r>
            <w:r w:rsidR="00755197" w:rsidRPr="00755197">
              <w:t xml:space="preserve">number of </w:t>
            </w:r>
            <w:r w:rsidRPr="00755197">
              <w:t>secondary school students who completed Grade 12 (absolute numbers)</w:t>
            </w:r>
          </w:p>
        </w:tc>
        <w:tc>
          <w:tcPr>
            <w:tcW w:w="1617" w:type="dxa"/>
            <w:tcBorders>
              <w:bottom w:val="single" w:sz="4" w:space="0" w:color="auto"/>
              <w:right w:val="single" w:sz="18" w:space="0" w:color="auto"/>
            </w:tcBorders>
            <w:vAlign w:val="center"/>
          </w:tcPr>
          <w:p w:rsidR="004F7ED8" w:rsidRDefault="004F7ED8" w:rsidP="00C82363">
            <w:pPr>
              <w:spacing w:line="240" w:lineRule="auto"/>
              <w:jc w:val="right"/>
            </w:pPr>
            <w:r w:rsidRPr="00A1515A">
              <w:rPr>
                <w:rFonts w:hint="cs"/>
                <w:color w:val="000000"/>
                <w:lang w:eastAsia="en-US"/>
              </w:rPr>
              <w:t>76,569</w:t>
            </w:r>
          </w:p>
        </w:tc>
        <w:tc>
          <w:tcPr>
            <w:tcW w:w="1465" w:type="dxa"/>
            <w:tcBorders>
              <w:left w:val="single" w:sz="18" w:space="0" w:color="auto"/>
              <w:bottom w:val="single" w:sz="4" w:space="0" w:color="auto"/>
            </w:tcBorders>
            <w:vAlign w:val="center"/>
          </w:tcPr>
          <w:p w:rsidR="004F7ED8" w:rsidRDefault="004F7ED8" w:rsidP="00C82363">
            <w:pPr>
              <w:spacing w:line="240" w:lineRule="auto"/>
              <w:jc w:val="right"/>
            </w:pPr>
            <w:r w:rsidRPr="00A1515A">
              <w:rPr>
                <w:rFonts w:hint="cs"/>
                <w:color w:val="000000"/>
                <w:lang w:eastAsia="en-US"/>
              </w:rPr>
              <w:t>2,921</w:t>
            </w:r>
          </w:p>
        </w:tc>
        <w:tc>
          <w:tcPr>
            <w:tcW w:w="1552" w:type="dxa"/>
            <w:tcBorders>
              <w:bottom w:val="single" w:sz="4" w:space="0" w:color="auto"/>
            </w:tcBorders>
            <w:vAlign w:val="center"/>
          </w:tcPr>
          <w:p w:rsidR="004F7ED8" w:rsidRDefault="004F7ED8" w:rsidP="00C82363">
            <w:pPr>
              <w:spacing w:line="240" w:lineRule="auto"/>
              <w:jc w:val="right"/>
            </w:pPr>
            <w:r w:rsidRPr="00A1515A">
              <w:rPr>
                <w:rFonts w:hint="cs"/>
                <w:color w:val="000000"/>
                <w:lang w:eastAsia="en-US"/>
              </w:rPr>
              <w:t>1,307</w:t>
            </w:r>
          </w:p>
        </w:tc>
        <w:tc>
          <w:tcPr>
            <w:tcW w:w="1413" w:type="dxa"/>
            <w:tcBorders>
              <w:bottom w:val="single" w:sz="4" w:space="0" w:color="auto"/>
            </w:tcBorders>
            <w:vAlign w:val="center"/>
          </w:tcPr>
          <w:p w:rsidR="004F7ED8" w:rsidRDefault="004F7ED8" w:rsidP="00C82363">
            <w:pPr>
              <w:spacing w:line="240" w:lineRule="auto"/>
              <w:jc w:val="right"/>
            </w:pPr>
            <w:r w:rsidRPr="00A1515A">
              <w:rPr>
                <w:rFonts w:hint="cs"/>
                <w:color w:val="000000"/>
                <w:lang w:eastAsia="en-US"/>
              </w:rPr>
              <w:t>1,614</w:t>
            </w:r>
          </w:p>
        </w:tc>
      </w:tr>
      <w:tr w:rsidR="009550BB" w:rsidTr="00D25900">
        <w:trPr>
          <w:jc w:val="center"/>
        </w:trPr>
        <w:tc>
          <w:tcPr>
            <w:tcW w:w="4279" w:type="dxa"/>
            <w:tcBorders>
              <w:bottom w:val="nil"/>
            </w:tcBorders>
            <w:vAlign w:val="center"/>
          </w:tcPr>
          <w:p w:rsidR="004F7ED8" w:rsidRPr="00755197" w:rsidRDefault="00755197" w:rsidP="00364E67">
            <w:pPr>
              <w:spacing w:line="240" w:lineRule="auto"/>
            </w:pPr>
            <w:r w:rsidRPr="00755197">
              <w:t xml:space="preserve">Thereof: Students who went on to academic studies </w:t>
            </w:r>
            <w:r w:rsidR="00C341F4">
              <w:t xml:space="preserve">- </w:t>
            </w:r>
            <w:r w:rsidRPr="00755197">
              <w:t>percentages</w:t>
            </w:r>
          </w:p>
        </w:tc>
        <w:tc>
          <w:tcPr>
            <w:tcW w:w="1617" w:type="dxa"/>
            <w:tcBorders>
              <w:bottom w:val="nil"/>
              <w:right w:val="single" w:sz="18" w:space="0" w:color="auto"/>
            </w:tcBorders>
            <w:vAlign w:val="center"/>
          </w:tcPr>
          <w:p w:rsidR="004F7ED8" w:rsidRDefault="004F7ED8" w:rsidP="00C82363">
            <w:pPr>
              <w:spacing w:line="240" w:lineRule="auto"/>
              <w:jc w:val="right"/>
            </w:pPr>
            <w:r w:rsidRPr="00A1515A">
              <w:rPr>
                <w:rFonts w:hint="cs"/>
                <w:color w:val="000000"/>
                <w:lang w:eastAsia="en-US"/>
              </w:rPr>
              <w:t>47.2</w:t>
            </w:r>
          </w:p>
        </w:tc>
        <w:tc>
          <w:tcPr>
            <w:tcW w:w="1465" w:type="dxa"/>
            <w:tcBorders>
              <w:left w:val="single" w:sz="18" w:space="0" w:color="auto"/>
              <w:bottom w:val="nil"/>
            </w:tcBorders>
            <w:vAlign w:val="center"/>
          </w:tcPr>
          <w:p w:rsidR="004F7ED8" w:rsidRDefault="004F7ED8" w:rsidP="00C82363">
            <w:pPr>
              <w:spacing w:line="240" w:lineRule="auto"/>
              <w:jc w:val="right"/>
            </w:pPr>
            <w:r w:rsidRPr="00A1515A">
              <w:rPr>
                <w:rFonts w:hint="cs"/>
                <w:color w:val="000000"/>
                <w:lang w:eastAsia="en-US"/>
              </w:rPr>
              <w:t>21.7</w:t>
            </w:r>
          </w:p>
        </w:tc>
        <w:tc>
          <w:tcPr>
            <w:tcW w:w="1552" w:type="dxa"/>
            <w:tcBorders>
              <w:bottom w:val="nil"/>
            </w:tcBorders>
            <w:vAlign w:val="center"/>
          </w:tcPr>
          <w:p w:rsidR="004F7ED8" w:rsidRDefault="004F7ED8" w:rsidP="00C82363">
            <w:pPr>
              <w:spacing w:line="240" w:lineRule="auto"/>
              <w:jc w:val="right"/>
            </w:pPr>
            <w:r w:rsidRPr="00A1515A">
              <w:rPr>
                <w:rFonts w:hint="cs"/>
                <w:color w:val="000000"/>
                <w:lang w:eastAsia="en-US"/>
              </w:rPr>
              <w:t>20.3</w:t>
            </w:r>
          </w:p>
        </w:tc>
        <w:tc>
          <w:tcPr>
            <w:tcW w:w="1413" w:type="dxa"/>
            <w:tcBorders>
              <w:bottom w:val="nil"/>
            </w:tcBorders>
            <w:vAlign w:val="center"/>
          </w:tcPr>
          <w:p w:rsidR="004F7ED8" w:rsidRDefault="004F7ED8" w:rsidP="00C82363">
            <w:pPr>
              <w:spacing w:line="240" w:lineRule="auto"/>
              <w:jc w:val="right"/>
            </w:pPr>
            <w:r w:rsidRPr="00A1515A">
              <w:rPr>
                <w:rFonts w:hint="cs"/>
                <w:color w:val="000000"/>
                <w:lang w:eastAsia="en-US"/>
              </w:rPr>
              <w:t>22.8</w:t>
            </w:r>
          </w:p>
        </w:tc>
      </w:tr>
      <w:tr w:rsidR="009550BB" w:rsidTr="00D25900">
        <w:trPr>
          <w:jc w:val="center"/>
        </w:trPr>
        <w:tc>
          <w:tcPr>
            <w:tcW w:w="4279" w:type="dxa"/>
            <w:tcBorders>
              <w:top w:val="nil"/>
              <w:bottom w:val="single" w:sz="4" w:space="0" w:color="auto"/>
            </w:tcBorders>
          </w:tcPr>
          <w:p w:rsidR="00FD5AB0" w:rsidRPr="00755197" w:rsidRDefault="00C341F4" w:rsidP="00364E67">
            <w:pPr>
              <w:spacing w:line="240" w:lineRule="auto"/>
            </w:pPr>
            <w:r>
              <w:t>- a</w:t>
            </w:r>
            <w:r w:rsidR="00FD5AB0" w:rsidRPr="00755197">
              <w:t>bsolute numbers</w:t>
            </w:r>
          </w:p>
        </w:tc>
        <w:tc>
          <w:tcPr>
            <w:tcW w:w="1617" w:type="dxa"/>
            <w:tcBorders>
              <w:top w:val="nil"/>
              <w:bottom w:val="single" w:sz="4" w:space="0" w:color="auto"/>
              <w:right w:val="single" w:sz="18" w:space="0" w:color="auto"/>
            </w:tcBorders>
            <w:vAlign w:val="center"/>
          </w:tcPr>
          <w:p w:rsidR="004F7ED8" w:rsidRDefault="004F7ED8" w:rsidP="00C82363">
            <w:pPr>
              <w:spacing w:line="240" w:lineRule="auto"/>
              <w:jc w:val="right"/>
            </w:pPr>
            <w:r w:rsidRPr="00A1515A">
              <w:rPr>
                <w:rFonts w:hint="cs"/>
                <w:color w:val="000000"/>
                <w:lang w:eastAsia="en-US"/>
              </w:rPr>
              <w:t>36,105</w:t>
            </w:r>
          </w:p>
        </w:tc>
        <w:tc>
          <w:tcPr>
            <w:tcW w:w="1465" w:type="dxa"/>
            <w:tcBorders>
              <w:top w:val="nil"/>
              <w:left w:val="single" w:sz="18" w:space="0" w:color="auto"/>
              <w:bottom w:val="single" w:sz="4" w:space="0" w:color="auto"/>
            </w:tcBorders>
            <w:vAlign w:val="center"/>
          </w:tcPr>
          <w:p w:rsidR="004F7ED8" w:rsidRDefault="004F7ED8" w:rsidP="00C82363">
            <w:pPr>
              <w:spacing w:line="240" w:lineRule="auto"/>
              <w:jc w:val="right"/>
            </w:pPr>
            <w:r w:rsidRPr="00A1515A">
              <w:rPr>
                <w:rFonts w:hint="cs"/>
                <w:color w:val="000000"/>
                <w:lang w:eastAsia="en-US"/>
              </w:rPr>
              <w:t>633</w:t>
            </w:r>
          </w:p>
        </w:tc>
        <w:tc>
          <w:tcPr>
            <w:tcW w:w="1552" w:type="dxa"/>
            <w:tcBorders>
              <w:top w:val="nil"/>
              <w:bottom w:val="single" w:sz="4" w:space="0" w:color="auto"/>
            </w:tcBorders>
            <w:vAlign w:val="center"/>
          </w:tcPr>
          <w:p w:rsidR="004F7ED8" w:rsidRDefault="004F7ED8" w:rsidP="00C82363">
            <w:pPr>
              <w:spacing w:line="240" w:lineRule="auto"/>
              <w:jc w:val="right"/>
            </w:pPr>
            <w:r w:rsidRPr="00A1515A">
              <w:rPr>
                <w:rFonts w:hint="cs"/>
                <w:color w:val="000000"/>
                <w:lang w:eastAsia="en-US"/>
              </w:rPr>
              <w:t>265</w:t>
            </w:r>
          </w:p>
        </w:tc>
        <w:tc>
          <w:tcPr>
            <w:tcW w:w="1413" w:type="dxa"/>
            <w:tcBorders>
              <w:top w:val="nil"/>
              <w:bottom w:val="single" w:sz="4" w:space="0" w:color="auto"/>
            </w:tcBorders>
            <w:vAlign w:val="center"/>
          </w:tcPr>
          <w:p w:rsidR="004F7ED8" w:rsidRDefault="004F7ED8" w:rsidP="00C82363">
            <w:pPr>
              <w:spacing w:line="240" w:lineRule="auto"/>
              <w:jc w:val="right"/>
            </w:pPr>
            <w:r w:rsidRPr="00A1515A">
              <w:rPr>
                <w:rFonts w:hint="cs"/>
                <w:color w:val="000000"/>
                <w:lang w:eastAsia="en-US"/>
              </w:rPr>
              <w:t>368</w:t>
            </w:r>
          </w:p>
        </w:tc>
      </w:tr>
      <w:tr w:rsidR="009550BB" w:rsidTr="00D25900">
        <w:trPr>
          <w:jc w:val="center"/>
        </w:trPr>
        <w:tc>
          <w:tcPr>
            <w:tcW w:w="4279" w:type="dxa"/>
            <w:tcBorders>
              <w:bottom w:val="nil"/>
            </w:tcBorders>
            <w:vAlign w:val="center"/>
          </w:tcPr>
          <w:p w:rsidR="00FD5AB0" w:rsidRPr="00755197" w:rsidRDefault="00755197" w:rsidP="00364E67">
            <w:pPr>
              <w:spacing w:line="240" w:lineRule="auto"/>
            </w:pPr>
            <w:r w:rsidRPr="00755197">
              <w:t>Students who went on to academic studies</w:t>
            </w:r>
            <w:r w:rsidR="00FD5AB0" w:rsidRPr="00755197">
              <w:t>, by type of institution</w:t>
            </w:r>
          </w:p>
          <w:p w:rsidR="00FD5AB0" w:rsidRPr="00755197" w:rsidRDefault="00FD5AB0" w:rsidP="00364E67">
            <w:pPr>
              <w:spacing w:line="240" w:lineRule="auto"/>
            </w:pPr>
            <w:r w:rsidRPr="00755197">
              <w:t>Percentages</w:t>
            </w:r>
          </w:p>
        </w:tc>
        <w:tc>
          <w:tcPr>
            <w:tcW w:w="1617" w:type="dxa"/>
            <w:tcBorders>
              <w:bottom w:val="nil"/>
              <w:right w:val="single" w:sz="18" w:space="0" w:color="auto"/>
            </w:tcBorders>
            <w:vAlign w:val="center"/>
          </w:tcPr>
          <w:p w:rsidR="004F7ED8" w:rsidRDefault="004F7ED8" w:rsidP="00C82363">
            <w:pPr>
              <w:spacing w:line="240" w:lineRule="auto"/>
              <w:jc w:val="right"/>
            </w:pPr>
            <w:r w:rsidRPr="00A1515A">
              <w:rPr>
                <w:rFonts w:hint="cs"/>
                <w:color w:val="000000"/>
                <w:lang w:eastAsia="en-US"/>
              </w:rPr>
              <w:t>100</w:t>
            </w:r>
            <w:r w:rsidRPr="00A1515A">
              <w:rPr>
                <w:color w:val="000000"/>
                <w:lang w:eastAsia="en-US"/>
              </w:rPr>
              <w:t>.0</w:t>
            </w:r>
          </w:p>
        </w:tc>
        <w:tc>
          <w:tcPr>
            <w:tcW w:w="1465" w:type="dxa"/>
            <w:tcBorders>
              <w:left w:val="single" w:sz="18" w:space="0" w:color="auto"/>
              <w:bottom w:val="nil"/>
            </w:tcBorders>
            <w:vAlign w:val="center"/>
          </w:tcPr>
          <w:p w:rsidR="004F7ED8" w:rsidRDefault="004F7ED8" w:rsidP="00C82363">
            <w:pPr>
              <w:spacing w:line="240" w:lineRule="auto"/>
              <w:jc w:val="right"/>
            </w:pPr>
            <w:r w:rsidRPr="00A1515A">
              <w:rPr>
                <w:rFonts w:hint="cs"/>
                <w:color w:val="000000"/>
                <w:lang w:eastAsia="en-US"/>
              </w:rPr>
              <w:t>100</w:t>
            </w:r>
            <w:r w:rsidRPr="00A1515A">
              <w:rPr>
                <w:color w:val="000000"/>
                <w:lang w:eastAsia="en-US"/>
              </w:rPr>
              <w:t>.0</w:t>
            </w:r>
          </w:p>
        </w:tc>
        <w:tc>
          <w:tcPr>
            <w:tcW w:w="1552" w:type="dxa"/>
            <w:tcBorders>
              <w:bottom w:val="nil"/>
            </w:tcBorders>
            <w:vAlign w:val="center"/>
          </w:tcPr>
          <w:p w:rsidR="004F7ED8" w:rsidRDefault="004F7ED8" w:rsidP="00C82363">
            <w:pPr>
              <w:spacing w:line="240" w:lineRule="auto"/>
              <w:jc w:val="right"/>
            </w:pPr>
            <w:r w:rsidRPr="00A1515A">
              <w:rPr>
                <w:rFonts w:hint="cs"/>
                <w:color w:val="000000"/>
                <w:lang w:eastAsia="en-US"/>
              </w:rPr>
              <w:t>100</w:t>
            </w:r>
            <w:r w:rsidRPr="00A1515A">
              <w:rPr>
                <w:color w:val="000000"/>
                <w:lang w:eastAsia="en-US"/>
              </w:rPr>
              <w:t>.0</w:t>
            </w:r>
          </w:p>
        </w:tc>
        <w:tc>
          <w:tcPr>
            <w:tcW w:w="1413" w:type="dxa"/>
            <w:tcBorders>
              <w:bottom w:val="nil"/>
            </w:tcBorders>
            <w:vAlign w:val="center"/>
          </w:tcPr>
          <w:p w:rsidR="004F7ED8" w:rsidRDefault="004F7ED8" w:rsidP="00C82363">
            <w:pPr>
              <w:spacing w:line="240" w:lineRule="auto"/>
              <w:jc w:val="right"/>
            </w:pPr>
            <w:r w:rsidRPr="00A1515A">
              <w:rPr>
                <w:rFonts w:hint="cs"/>
                <w:color w:val="000000"/>
                <w:lang w:eastAsia="en-US"/>
              </w:rPr>
              <w:t>100</w:t>
            </w:r>
            <w:r w:rsidRPr="00A1515A">
              <w:rPr>
                <w:color w:val="000000"/>
                <w:lang w:eastAsia="en-US"/>
              </w:rPr>
              <w:t>.0</w:t>
            </w:r>
          </w:p>
        </w:tc>
      </w:tr>
      <w:tr w:rsidR="009550BB" w:rsidTr="00D25900">
        <w:trPr>
          <w:jc w:val="center"/>
        </w:trPr>
        <w:tc>
          <w:tcPr>
            <w:tcW w:w="4279" w:type="dxa"/>
            <w:tcBorders>
              <w:top w:val="nil"/>
              <w:bottom w:val="nil"/>
            </w:tcBorders>
            <w:vAlign w:val="center"/>
          </w:tcPr>
          <w:p w:rsidR="004F7ED8" w:rsidRPr="00755197" w:rsidRDefault="004F7ED8" w:rsidP="00364E67">
            <w:pPr>
              <w:spacing w:line="240" w:lineRule="auto"/>
            </w:pPr>
            <w:r w:rsidRPr="00755197">
              <w:rPr>
                <w:color w:val="000000"/>
                <w:lang w:eastAsia="en-US"/>
              </w:rPr>
              <w:t>Universities</w:t>
            </w:r>
          </w:p>
        </w:tc>
        <w:tc>
          <w:tcPr>
            <w:tcW w:w="1617" w:type="dxa"/>
            <w:tcBorders>
              <w:top w:val="nil"/>
              <w:bottom w:val="nil"/>
              <w:right w:val="single" w:sz="18" w:space="0" w:color="auto"/>
            </w:tcBorders>
            <w:vAlign w:val="center"/>
          </w:tcPr>
          <w:p w:rsidR="004F7ED8" w:rsidRDefault="004F7ED8" w:rsidP="00C82363">
            <w:pPr>
              <w:spacing w:line="240" w:lineRule="auto"/>
              <w:jc w:val="right"/>
            </w:pPr>
            <w:r w:rsidRPr="00A1515A">
              <w:rPr>
                <w:rFonts w:hint="cs"/>
                <w:color w:val="000000"/>
                <w:lang w:eastAsia="en-US"/>
              </w:rPr>
              <w:t>35.8</w:t>
            </w:r>
          </w:p>
        </w:tc>
        <w:tc>
          <w:tcPr>
            <w:tcW w:w="1465" w:type="dxa"/>
            <w:tcBorders>
              <w:top w:val="nil"/>
              <w:left w:val="single" w:sz="18" w:space="0" w:color="auto"/>
              <w:bottom w:val="nil"/>
            </w:tcBorders>
            <w:vAlign w:val="center"/>
          </w:tcPr>
          <w:p w:rsidR="004F7ED8" w:rsidRDefault="004F7ED8" w:rsidP="00C82363">
            <w:pPr>
              <w:spacing w:line="240" w:lineRule="auto"/>
              <w:jc w:val="right"/>
            </w:pPr>
            <w:r w:rsidRPr="00A1515A">
              <w:rPr>
                <w:rFonts w:hint="cs"/>
                <w:color w:val="000000"/>
                <w:lang w:eastAsia="en-US"/>
              </w:rPr>
              <w:t>26.5</w:t>
            </w:r>
          </w:p>
        </w:tc>
        <w:tc>
          <w:tcPr>
            <w:tcW w:w="1552" w:type="dxa"/>
            <w:tcBorders>
              <w:top w:val="nil"/>
              <w:bottom w:val="nil"/>
            </w:tcBorders>
            <w:vAlign w:val="center"/>
          </w:tcPr>
          <w:p w:rsidR="004F7ED8" w:rsidRDefault="004F7ED8" w:rsidP="00C82363">
            <w:pPr>
              <w:spacing w:line="240" w:lineRule="auto"/>
              <w:jc w:val="right"/>
            </w:pPr>
            <w:r w:rsidRPr="00A1515A">
              <w:rPr>
                <w:rFonts w:hint="cs"/>
                <w:color w:val="000000"/>
                <w:lang w:eastAsia="en-US"/>
              </w:rPr>
              <w:t>19.6</w:t>
            </w:r>
          </w:p>
        </w:tc>
        <w:tc>
          <w:tcPr>
            <w:tcW w:w="1413" w:type="dxa"/>
            <w:tcBorders>
              <w:top w:val="nil"/>
              <w:bottom w:val="nil"/>
            </w:tcBorders>
            <w:vAlign w:val="center"/>
          </w:tcPr>
          <w:p w:rsidR="004F7ED8" w:rsidRDefault="004F7ED8" w:rsidP="00C82363">
            <w:pPr>
              <w:spacing w:line="240" w:lineRule="auto"/>
              <w:jc w:val="right"/>
            </w:pPr>
            <w:r w:rsidRPr="00A1515A">
              <w:rPr>
                <w:rFonts w:hint="cs"/>
                <w:color w:val="000000"/>
                <w:lang w:eastAsia="en-US"/>
              </w:rPr>
              <w:t>31.5</w:t>
            </w:r>
          </w:p>
        </w:tc>
      </w:tr>
      <w:tr w:rsidR="009550BB" w:rsidTr="00D25900">
        <w:trPr>
          <w:jc w:val="center"/>
        </w:trPr>
        <w:tc>
          <w:tcPr>
            <w:tcW w:w="4279" w:type="dxa"/>
            <w:tcBorders>
              <w:top w:val="nil"/>
              <w:bottom w:val="nil"/>
            </w:tcBorders>
            <w:vAlign w:val="center"/>
          </w:tcPr>
          <w:p w:rsidR="004F7ED8" w:rsidRPr="004F7ED8" w:rsidRDefault="004F7ED8" w:rsidP="00364E67">
            <w:pPr>
              <w:spacing w:line="240" w:lineRule="auto"/>
            </w:pPr>
            <w:r>
              <w:rPr>
                <w:color w:val="000000"/>
                <w:lang w:eastAsia="en-US"/>
              </w:rPr>
              <w:t>The Open University</w:t>
            </w:r>
          </w:p>
        </w:tc>
        <w:tc>
          <w:tcPr>
            <w:tcW w:w="1617" w:type="dxa"/>
            <w:tcBorders>
              <w:top w:val="nil"/>
              <w:bottom w:val="nil"/>
              <w:right w:val="single" w:sz="18" w:space="0" w:color="auto"/>
            </w:tcBorders>
            <w:vAlign w:val="center"/>
          </w:tcPr>
          <w:p w:rsidR="004F7ED8" w:rsidRDefault="004F7ED8" w:rsidP="00C82363">
            <w:pPr>
              <w:spacing w:line="240" w:lineRule="auto"/>
              <w:jc w:val="right"/>
            </w:pPr>
            <w:r w:rsidRPr="00A1515A">
              <w:rPr>
                <w:rFonts w:hint="cs"/>
                <w:color w:val="000000"/>
                <w:lang w:eastAsia="en-US"/>
              </w:rPr>
              <w:t>11.7</w:t>
            </w:r>
          </w:p>
        </w:tc>
        <w:tc>
          <w:tcPr>
            <w:tcW w:w="1465" w:type="dxa"/>
            <w:tcBorders>
              <w:top w:val="nil"/>
              <w:left w:val="single" w:sz="18" w:space="0" w:color="auto"/>
              <w:bottom w:val="nil"/>
            </w:tcBorders>
            <w:vAlign w:val="center"/>
          </w:tcPr>
          <w:p w:rsidR="004F7ED8" w:rsidRDefault="004F7ED8" w:rsidP="00C82363">
            <w:pPr>
              <w:spacing w:line="240" w:lineRule="auto"/>
              <w:jc w:val="right"/>
            </w:pPr>
            <w:r w:rsidRPr="00A1515A">
              <w:rPr>
                <w:rFonts w:hint="cs"/>
                <w:color w:val="000000"/>
                <w:lang w:eastAsia="en-US"/>
              </w:rPr>
              <w:t>10</w:t>
            </w:r>
          </w:p>
        </w:tc>
        <w:tc>
          <w:tcPr>
            <w:tcW w:w="1552" w:type="dxa"/>
            <w:tcBorders>
              <w:top w:val="nil"/>
              <w:bottom w:val="nil"/>
            </w:tcBorders>
            <w:vAlign w:val="center"/>
          </w:tcPr>
          <w:p w:rsidR="004F7ED8" w:rsidRDefault="004F7ED8" w:rsidP="00C82363">
            <w:pPr>
              <w:spacing w:line="240" w:lineRule="auto"/>
              <w:jc w:val="right"/>
            </w:pPr>
            <w:r w:rsidRPr="00A1515A">
              <w:rPr>
                <w:rFonts w:hint="cs"/>
                <w:color w:val="000000"/>
                <w:lang w:eastAsia="en-US"/>
              </w:rPr>
              <w:t>8.7</w:t>
            </w:r>
          </w:p>
        </w:tc>
        <w:tc>
          <w:tcPr>
            <w:tcW w:w="1413" w:type="dxa"/>
            <w:tcBorders>
              <w:top w:val="nil"/>
              <w:bottom w:val="nil"/>
            </w:tcBorders>
            <w:vAlign w:val="center"/>
          </w:tcPr>
          <w:p w:rsidR="004F7ED8" w:rsidRDefault="004F7ED8" w:rsidP="00C82363">
            <w:pPr>
              <w:spacing w:line="240" w:lineRule="auto"/>
              <w:jc w:val="right"/>
            </w:pPr>
            <w:r w:rsidRPr="00A1515A">
              <w:rPr>
                <w:rFonts w:hint="cs"/>
                <w:color w:val="000000"/>
                <w:lang w:eastAsia="en-US"/>
              </w:rPr>
              <w:t>10.9</w:t>
            </w:r>
          </w:p>
        </w:tc>
      </w:tr>
      <w:tr w:rsidR="009550BB" w:rsidTr="00D25900">
        <w:trPr>
          <w:jc w:val="center"/>
        </w:trPr>
        <w:tc>
          <w:tcPr>
            <w:tcW w:w="4279" w:type="dxa"/>
            <w:tcBorders>
              <w:top w:val="nil"/>
              <w:bottom w:val="nil"/>
            </w:tcBorders>
            <w:vAlign w:val="center"/>
          </w:tcPr>
          <w:p w:rsidR="004F7ED8" w:rsidRPr="004F7ED8" w:rsidRDefault="004F7ED8" w:rsidP="00364E67">
            <w:pPr>
              <w:spacing w:line="240" w:lineRule="auto"/>
            </w:pPr>
            <w:r>
              <w:rPr>
                <w:color w:val="000000"/>
                <w:lang w:eastAsia="en-US"/>
              </w:rPr>
              <w:t>Academic colleges</w:t>
            </w:r>
          </w:p>
        </w:tc>
        <w:tc>
          <w:tcPr>
            <w:tcW w:w="1617" w:type="dxa"/>
            <w:tcBorders>
              <w:top w:val="nil"/>
              <w:bottom w:val="nil"/>
              <w:right w:val="single" w:sz="18" w:space="0" w:color="auto"/>
            </w:tcBorders>
            <w:vAlign w:val="center"/>
          </w:tcPr>
          <w:p w:rsidR="004F7ED8" w:rsidRDefault="004F7ED8" w:rsidP="00C82363">
            <w:pPr>
              <w:spacing w:line="240" w:lineRule="auto"/>
              <w:jc w:val="right"/>
            </w:pPr>
            <w:r w:rsidRPr="00A1515A">
              <w:rPr>
                <w:rFonts w:hint="cs"/>
                <w:color w:val="000000"/>
                <w:lang w:eastAsia="en-US"/>
              </w:rPr>
              <w:t>40.4</w:t>
            </w:r>
          </w:p>
        </w:tc>
        <w:tc>
          <w:tcPr>
            <w:tcW w:w="1465" w:type="dxa"/>
            <w:tcBorders>
              <w:top w:val="nil"/>
              <w:left w:val="single" w:sz="18" w:space="0" w:color="auto"/>
              <w:bottom w:val="nil"/>
            </w:tcBorders>
            <w:vAlign w:val="center"/>
          </w:tcPr>
          <w:p w:rsidR="004F7ED8" w:rsidRDefault="004F7ED8" w:rsidP="00C82363">
            <w:pPr>
              <w:spacing w:line="240" w:lineRule="auto"/>
              <w:jc w:val="right"/>
            </w:pPr>
            <w:r w:rsidRPr="00A1515A">
              <w:rPr>
                <w:rFonts w:hint="cs"/>
                <w:color w:val="000000"/>
                <w:lang w:eastAsia="en-US"/>
              </w:rPr>
              <w:t>51</w:t>
            </w:r>
          </w:p>
        </w:tc>
        <w:tc>
          <w:tcPr>
            <w:tcW w:w="1552" w:type="dxa"/>
            <w:tcBorders>
              <w:top w:val="nil"/>
              <w:bottom w:val="nil"/>
            </w:tcBorders>
            <w:vAlign w:val="center"/>
          </w:tcPr>
          <w:p w:rsidR="004F7ED8" w:rsidRDefault="004F7ED8" w:rsidP="00C82363">
            <w:pPr>
              <w:spacing w:line="240" w:lineRule="auto"/>
              <w:jc w:val="right"/>
            </w:pPr>
            <w:r w:rsidRPr="00A1515A">
              <w:rPr>
                <w:rFonts w:hint="cs"/>
                <w:color w:val="000000"/>
                <w:lang w:eastAsia="en-US"/>
              </w:rPr>
              <w:t>57</w:t>
            </w:r>
          </w:p>
        </w:tc>
        <w:tc>
          <w:tcPr>
            <w:tcW w:w="1413" w:type="dxa"/>
            <w:tcBorders>
              <w:top w:val="nil"/>
              <w:bottom w:val="nil"/>
            </w:tcBorders>
            <w:vAlign w:val="center"/>
          </w:tcPr>
          <w:p w:rsidR="004F7ED8" w:rsidRDefault="004F7ED8" w:rsidP="00C82363">
            <w:pPr>
              <w:spacing w:line="240" w:lineRule="auto"/>
              <w:jc w:val="right"/>
            </w:pPr>
            <w:r w:rsidRPr="00A1515A">
              <w:rPr>
                <w:rFonts w:hint="cs"/>
                <w:color w:val="000000"/>
                <w:lang w:eastAsia="en-US"/>
              </w:rPr>
              <w:t>46.7</w:t>
            </w:r>
          </w:p>
        </w:tc>
      </w:tr>
      <w:tr w:rsidR="009550BB" w:rsidTr="00D25900">
        <w:trPr>
          <w:jc w:val="center"/>
        </w:trPr>
        <w:tc>
          <w:tcPr>
            <w:tcW w:w="4279" w:type="dxa"/>
            <w:tcBorders>
              <w:top w:val="nil"/>
            </w:tcBorders>
            <w:vAlign w:val="center"/>
          </w:tcPr>
          <w:p w:rsidR="004F7ED8" w:rsidRPr="004F7ED8" w:rsidRDefault="004F7ED8" w:rsidP="00364E67">
            <w:pPr>
              <w:spacing w:line="240" w:lineRule="auto"/>
              <w:rPr>
                <w:highlight w:val="yellow"/>
              </w:rPr>
            </w:pPr>
            <w:r>
              <w:rPr>
                <w:color w:val="000000"/>
                <w:lang w:eastAsia="en-US"/>
              </w:rPr>
              <w:t xml:space="preserve">Academic </w:t>
            </w:r>
            <w:r w:rsidRPr="004F7ED8">
              <w:rPr>
                <w:color w:val="000000"/>
                <w:lang w:eastAsia="en-US"/>
              </w:rPr>
              <w:t>colleges</w:t>
            </w:r>
            <w:r w:rsidRPr="004F7ED8">
              <w:t xml:space="preserve"> of education</w:t>
            </w:r>
          </w:p>
        </w:tc>
        <w:tc>
          <w:tcPr>
            <w:tcW w:w="1617" w:type="dxa"/>
            <w:tcBorders>
              <w:top w:val="nil"/>
              <w:right w:val="single" w:sz="18" w:space="0" w:color="auto"/>
            </w:tcBorders>
            <w:vAlign w:val="center"/>
          </w:tcPr>
          <w:p w:rsidR="004F7ED8" w:rsidRDefault="004F7ED8" w:rsidP="00C82363">
            <w:pPr>
              <w:spacing w:line="240" w:lineRule="auto"/>
              <w:jc w:val="right"/>
            </w:pPr>
            <w:r w:rsidRPr="00A1515A">
              <w:rPr>
                <w:rFonts w:hint="cs"/>
                <w:color w:val="000000"/>
                <w:lang w:eastAsia="en-US"/>
              </w:rPr>
              <w:t>12.1</w:t>
            </w:r>
          </w:p>
        </w:tc>
        <w:tc>
          <w:tcPr>
            <w:tcW w:w="1465" w:type="dxa"/>
            <w:tcBorders>
              <w:top w:val="nil"/>
              <w:left w:val="single" w:sz="18" w:space="0" w:color="auto"/>
            </w:tcBorders>
            <w:vAlign w:val="center"/>
          </w:tcPr>
          <w:p w:rsidR="004F7ED8" w:rsidRDefault="004F7ED8" w:rsidP="00C82363">
            <w:pPr>
              <w:spacing w:line="240" w:lineRule="auto"/>
              <w:jc w:val="right"/>
            </w:pPr>
            <w:r w:rsidRPr="00A1515A">
              <w:rPr>
                <w:rFonts w:hint="cs"/>
                <w:color w:val="000000"/>
                <w:lang w:eastAsia="en-US"/>
              </w:rPr>
              <w:t>12.5</w:t>
            </w:r>
          </w:p>
        </w:tc>
        <w:tc>
          <w:tcPr>
            <w:tcW w:w="1552" w:type="dxa"/>
            <w:tcBorders>
              <w:top w:val="nil"/>
            </w:tcBorders>
            <w:vAlign w:val="center"/>
          </w:tcPr>
          <w:p w:rsidR="004F7ED8" w:rsidRDefault="004F7ED8" w:rsidP="00C82363">
            <w:pPr>
              <w:spacing w:line="240" w:lineRule="auto"/>
              <w:jc w:val="right"/>
            </w:pPr>
            <w:r w:rsidRPr="00A1515A">
              <w:rPr>
                <w:rFonts w:hint="cs"/>
                <w:color w:val="000000"/>
                <w:lang w:eastAsia="en-US"/>
              </w:rPr>
              <w:t>14.7</w:t>
            </w:r>
          </w:p>
        </w:tc>
        <w:tc>
          <w:tcPr>
            <w:tcW w:w="1413" w:type="dxa"/>
            <w:tcBorders>
              <w:top w:val="nil"/>
            </w:tcBorders>
            <w:vAlign w:val="center"/>
          </w:tcPr>
          <w:p w:rsidR="004F7ED8" w:rsidRDefault="004F7ED8" w:rsidP="00C82363">
            <w:pPr>
              <w:spacing w:line="240" w:lineRule="auto"/>
              <w:jc w:val="right"/>
            </w:pPr>
            <w:r w:rsidRPr="00A1515A">
              <w:rPr>
                <w:rFonts w:hint="cs"/>
                <w:color w:val="000000"/>
                <w:lang w:eastAsia="en-US"/>
              </w:rPr>
              <w:t>10.9</w:t>
            </w:r>
          </w:p>
        </w:tc>
      </w:tr>
    </w:tbl>
    <w:p w:rsidR="00C618C4" w:rsidRDefault="00C618C4" w:rsidP="00975F45">
      <w:pPr>
        <w:rPr>
          <w:color w:val="31849B" w:themeColor="accent5" w:themeShade="BF"/>
          <w:sz w:val="26"/>
          <w:szCs w:val="26"/>
        </w:rPr>
      </w:pPr>
      <w:r>
        <w:br w:type="page"/>
      </w:r>
    </w:p>
    <w:p w:rsidR="00AD749D" w:rsidRDefault="00FD5AB0" w:rsidP="000F495A">
      <w:pPr>
        <w:pStyle w:val="Heading2"/>
      </w:pPr>
      <w:r>
        <w:t>H</w:t>
      </w:r>
      <w:r w:rsidR="00FA4A90" w:rsidRPr="00C8721F">
        <w:t>igher Education</w:t>
      </w:r>
    </w:p>
    <w:p w:rsidR="00F0340C" w:rsidRPr="00F0340C" w:rsidRDefault="003D59D6" w:rsidP="00975F45">
      <w:pPr>
        <w:pStyle w:val="Heading3"/>
        <w:rPr>
          <w:shd w:val="clear" w:color="auto" w:fill="FFFFFF"/>
        </w:rPr>
      </w:pPr>
      <w:r>
        <w:rPr>
          <w:shd w:val="clear" w:color="auto" w:fill="FFFFFF"/>
        </w:rPr>
        <w:t>Students</w:t>
      </w:r>
    </w:p>
    <w:p w:rsidR="00F0340C" w:rsidRPr="00F0340C" w:rsidRDefault="00F0340C" w:rsidP="00AF5B98">
      <w:pPr>
        <w:rPr>
          <w:rtl/>
        </w:rPr>
      </w:pPr>
      <w:r w:rsidRPr="00F0340C">
        <w:t xml:space="preserve">The number of students </w:t>
      </w:r>
      <w:r w:rsidR="00C05D94">
        <w:t xml:space="preserve">of </w:t>
      </w:r>
      <w:r w:rsidR="00C05D94" w:rsidRPr="00F0340C">
        <w:t>Ethiopian</w:t>
      </w:r>
      <w:r w:rsidR="00C05D94">
        <w:t xml:space="preserve"> origin</w:t>
      </w:r>
      <w:r w:rsidR="00C05D94" w:rsidRPr="00F0340C">
        <w:t xml:space="preserve"> </w:t>
      </w:r>
      <w:r w:rsidR="006C01EB">
        <w:t>studying at</w:t>
      </w:r>
      <w:r w:rsidRPr="00F0340C">
        <w:t xml:space="preserve"> institutions of higher education</w:t>
      </w:r>
      <w:r w:rsidR="00C05D94">
        <w:rPr>
          <w:rStyle w:val="FootnoteReference"/>
        </w:rPr>
        <w:footnoteReference w:id="14"/>
      </w:r>
      <w:r w:rsidRPr="00F0340C">
        <w:t xml:space="preserve"> has been </w:t>
      </w:r>
      <w:r w:rsidR="0076010F">
        <w:t>increasing</w:t>
      </w:r>
      <w:r w:rsidRPr="00F0340C">
        <w:t xml:space="preserve"> in recent years</w:t>
      </w:r>
      <w:r w:rsidR="0076010F">
        <w:t>:</w:t>
      </w:r>
      <w:r w:rsidRPr="00F0340C">
        <w:t xml:space="preserve"> from </w:t>
      </w:r>
      <w:r w:rsidR="006C01EB">
        <w:t xml:space="preserve">2,372 in 2011/12 to </w:t>
      </w:r>
      <w:r w:rsidR="0076010F">
        <w:t>3,</w:t>
      </w:r>
      <w:r w:rsidR="004F7ED8">
        <w:t>546</w:t>
      </w:r>
      <w:r w:rsidR="006C01EB">
        <w:t xml:space="preserve"> in 201</w:t>
      </w:r>
      <w:r w:rsidR="004F7ED8">
        <w:t>9</w:t>
      </w:r>
      <w:r w:rsidR="00C05D94">
        <w:t>/</w:t>
      </w:r>
      <w:r w:rsidR="004F7ED8">
        <w:t>20</w:t>
      </w:r>
      <w:r w:rsidRPr="00F0340C">
        <w:t xml:space="preserve">. The percentage of </w:t>
      </w:r>
      <w:r w:rsidR="00C05D94" w:rsidRPr="00F0340C">
        <w:t xml:space="preserve">students </w:t>
      </w:r>
      <w:r w:rsidR="00C05D94">
        <w:t xml:space="preserve">of </w:t>
      </w:r>
      <w:r w:rsidR="00C05D94" w:rsidRPr="00F0340C">
        <w:t>Ethiopian</w:t>
      </w:r>
      <w:r w:rsidR="00C05D94">
        <w:t xml:space="preserve"> origin</w:t>
      </w:r>
      <w:r w:rsidRPr="00F0340C">
        <w:t xml:space="preserve"> </w:t>
      </w:r>
      <w:r w:rsidR="00132969">
        <w:t>of the overall number of</w:t>
      </w:r>
      <w:r w:rsidRPr="00F0340C">
        <w:t xml:space="preserve"> students</w:t>
      </w:r>
      <w:r w:rsidR="00F17BCD">
        <w:t xml:space="preserve"> also</w:t>
      </w:r>
      <w:r w:rsidRPr="00F0340C">
        <w:t xml:space="preserve"> increased during those years</w:t>
      </w:r>
      <w:r w:rsidR="00E57B28">
        <w:t xml:space="preserve"> </w:t>
      </w:r>
      <w:r w:rsidR="00DC7FF9">
        <w:t>–</w:t>
      </w:r>
      <w:r w:rsidRPr="00F0340C">
        <w:t xml:space="preserve"> from 0.9% to 1.</w:t>
      </w:r>
      <w:r w:rsidR="0076010F">
        <w:t>3</w:t>
      </w:r>
      <w:r w:rsidRPr="00F0340C">
        <w:t xml:space="preserve">%. </w:t>
      </w:r>
      <w:r w:rsidR="0076010F">
        <w:t xml:space="preserve">Despite what was stated above, </w:t>
      </w:r>
      <w:r w:rsidR="00EA1EE2">
        <w:t xml:space="preserve">the relative chances of Ethiopian immigrants </w:t>
      </w:r>
      <w:r w:rsidR="00F10FC3">
        <w:t xml:space="preserve">to enter </w:t>
      </w:r>
      <w:r w:rsidR="00EA1EE2">
        <w:t xml:space="preserve">higher education are still 0.7 times lower than those of native-born Israelis. The chances of men of Ethiopian origin </w:t>
      </w:r>
      <w:r w:rsidR="005A6057">
        <w:t>to</w:t>
      </w:r>
      <w:r w:rsidR="00EA1EE2">
        <w:t xml:space="preserve"> enter higher education are particularly low, at half the chances of native-born Israeli men.</w:t>
      </w:r>
    </w:p>
    <w:p w:rsidR="00AD749D" w:rsidRPr="00AF5B98" w:rsidRDefault="00F17BCD" w:rsidP="00AF5B98">
      <w:pPr>
        <w:jc w:val="center"/>
        <w:rPr>
          <w:b/>
          <w:bCs/>
          <w:rtl/>
        </w:rPr>
      </w:pPr>
      <w:r w:rsidRPr="00AF5B98">
        <w:rPr>
          <w:b/>
          <w:bCs/>
        </w:rPr>
        <w:t xml:space="preserve">Diagram </w:t>
      </w:r>
      <w:r w:rsidR="000B5A7D" w:rsidRPr="00AF5B98">
        <w:rPr>
          <w:b/>
          <w:bCs/>
        </w:rPr>
        <w:t>10</w:t>
      </w:r>
      <w:r w:rsidR="00A048FF" w:rsidRPr="00AF5B98">
        <w:rPr>
          <w:b/>
          <w:bCs/>
        </w:rPr>
        <w:t xml:space="preserve"> -</w:t>
      </w:r>
      <w:r w:rsidRPr="00AF5B98">
        <w:rPr>
          <w:b/>
          <w:bCs/>
        </w:rPr>
        <w:t xml:space="preserve"> Students of Ethiopian Origin in Institutions of Higher Education,</w:t>
      </w:r>
      <w:r w:rsidR="000938BD" w:rsidRPr="00AF5B98">
        <w:rPr>
          <w:b/>
          <w:bCs/>
        </w:rPr>
        <w:t xml:space="preserve"> </w:t>
      </w:r>
      <w:r w:rsidRPr="00AF5B98">
        <w:rPr>
          <w:b/>
          <w:bCs/>
        </w:rPr>
        <w:t>Absolute Numbers and Percentage of Total Students</w:t>
      </w:r>
    </w:p>
    <w:p w:rsidR="00176FD4" w:rsidRPr="00C8650B" w:rsidRDefault="00D53DFB" w:rsidP="00F8092C">
      <w:pPr>
        <w:pStyle w:val="diagram"/>
        <w:spacing w:before="20"/>
      </w:pPr>
      <w:r>
        <w:rPr>
          <w:noProof/>
          <w:lang w:eastAsia="en-US"/>
        </w:rPr>
        <w:drawing>
          <wp:inline distT="0" distB="0" distL="0" distR="0" wp14:anchorId="6987F30B" wp14:editId="1F83ECD4">
            <wp:extent cx="5960852" cy="3175024"/>
            <wp:effectExtent l="0" t="0" r="1905" b="6350"/>
            <wp:docPr id="9" name="Picture 9" descr="Diagram 10 - Students of Ethiopian Origin in Institutions of Higher Education, Absolute Numbers and Percentage of Total Students" title="Diagram 10 - Students of Ethiopian Origin in Institutions of Higher Education, Absolute Numbers and Percentage of Total 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62012" cy="3175642"/>
                    </a:xfrm>
                    <a:prstGeom prst="rect">
                      <a:avLst/>
                    </a:prstGeom>
                    <a:noFill/>
                  </pic:spPr>
                </pic:pic>
              </a:graphicData>
            </a:graphic>
          </wp:inline>
        </w:drawing>
      </w:r>
    </w:p>
    <w:p w:rsidR="00F8092C" w:rsidRDefault="00F8092C" w:rsidP="00975F45">
      <w:r>
        <w:br w:type="page"/>
      </w:r>
    </w:p>
    <w:p w:rsidR="000B2CE3" w:rsidRPr="001C5590" w:rsidRDefault="000B2CE3" w:rsidP="00975F45">
      <w:pPr>
        <w:pStyle w:val="Heading3"/>
      </w:pPr>
      <w:r w:rsidRPr="001C5590">
        <w:t>First Degree Studies</w:t>
      </w:r>
    </w:p>
    <w:p w:rsidR="00F17BCD" w:rsidRPr="001033F2" w:rsidRDefault="000B2CE3" w:rsidP="00AF5B98">
      <w:r w:rsidRPr="006523A7">
        <w:t>In 201</w:t>
      </w:r>
      <w:r w:rsidR="000B5A7D">
        <w:t>9</w:t>
      </w:r>
      <w:r w:rsidRPr="006523A7">
        <w:t>/</w:t>
      </w:r>
      <w:r w:rsidR="000B5A7D">
        <w:t>20</w:t>
      </w:r>
      <w:r w:rsidRPr="006523A7">
        <w:t xml:space="preserve">, </w:t>
      </w:r>
      <w:r w:rsidR="000B5A7D">
        <w:t>3</w:t>
      </w:r>
      <w:r w:rsidR="0045745E">
        <w:t>,</w:t>
      </w:r>
      <w:r w:rsidR="000B5A7D">
        <w:t>018</w:t>
      </w:r>
      <w:r w:rsidRPr="006523A7">
        <w:t xml:space="preserve"> s</w:t>
      </w:r>
      <w:r w:rsidR="00A7034C" w:rsidRPr="006523A7">
        <w:t>tudents</w:t>
      </w:r>
      <w:r w:rsidRPr="006523A7">
        <w:t xml:space="preserve"> </w:t>
      </w:r>
      <w:r w:rsidR="00A059F3" w:rsidRPr="006523A7">
        <w:t xml:space="preserve">of Ethiopian origin </w:t>
      </w:r>
      <w:r w:rsidR="0045745E" w:rsidRPr="006523A7">
        <w:t>(1.5% of all students)</w:t>
      </w:r>
      <w:r w:rsidR="0045745E">
        <w:t xml:space="preserve"> </w:t>
      </w:r>
      <w:r w:rsidRPr="006523A7">
        <w:t>stud</w:t>
      </w:r>
      <w:r w:rsidR="00A524F8" w:rsidRPr="006523A7">
        <w:t>ied</w:t>
      </w:r>
      <w:r w:rsidRPr="006523A7">
        <w:t xml:space="preserve"> toward</w:t>
      </w:r>
      <w:r w:rsidR="00C341F4">
        <w:t>s</w:t>
      </w:r>
      <w:r w:rsidRPr="006523A7">
        <w:t xml:space="preserve"> a first degree.</w:t>
      </w:r>
      <w:r w:rsidR="00A7034C" w:rsidRPr="006523A7">
        <w:t xml:space="preserve"> </w:t>
      </w:r>
      <w:r w:rsidR="001033F2" w:rsidRPr="008A6C6D">
        <w:t>H</w:t>
      </w:r>
      <w:r w:rsidR="00F17BCD" w:rsidRPr="008A6C6D">
        <w:t>igh percentage</w:t>
      </w:r>
      <w:r w:rsidR="001033F2" w:rsidRPr="008A6C6D">
        <w:t>s</w:t>
      </w:r>
      <w:r w:rsidR="00F17BCD" w:rsidRPr="008A6C6D">
        <w:t xml:space="preserve"> of </w:t>
      </w:r>
      <w:r w:rsidR="001033F2" w:rsidRPr="008A6C6D">
        <w:t>students of Ethiopian origin</w:t>
      </w:r>
      <w:r w:rsidR="00F17BCD" w:rsidRPr="008A6C6D">
        <w:t xml:space="preserve"> </w:t>
      </w:r>
      <w:r w:rsidR="000E05D4">
        <w:t xml:space="preserve">were enrolled in </w:t>
      </w:r>
      <w:r w:rsidR="00F17BCD" w:rsidRPr="008A6C6D">
        <w:t xml:space="preserve">the following fields: </w:t>
      </w:r>
      <w:r w:rsidR="001033F2" w:rsidRPr="008A6C6D">
        <w:t xml:space="preserve">business and </w:t>
      </w:r>
      <w:r w:rsidR="00FF5BF9">
        <w:t>management</w:t>
      </w:r>
      <w:r w:rsidR="001033F2" w:rsidRPr="008A6C6D">
        <w:t xml:space="preserve"> science</w:t>
      </w:r>
      <w:r w:rsidR="00F17BCD" w:rsidRPr="008A6C6D">
        <w:t>s (</w:t>
      </w:r>
      <w:r w:rsidR="0045745E">
        <w:t>2.</w:t>
      </w:r>
      <w:r w:rsidR="000B5A7D">
        <w:t>8</w:t>
      </w:r>
      <w:r w:rsidR="007300C8">
        <w:t>%)</w:t>
      </w:r>
      <w:r w:rsidR="007544A5">
        <w:t>, paramedical professions (2.2%),</w:t>
      </w:r>
      <w:r w:rsidR="00F17BCD" w:rsidRPr="008A6C6D">
        <w:t xml:space="preserve"> and </w:t>
      </w:r>
      <w:r w:rsidR="001033F2" w:rsidRPr="008A6C6D">
        <w:t>social s</w:t>
      </w:r>
      <w:r w:rsidR="00F17BCD" w:rsidRPr="008A6C6D">
        <w:t>ciences (</w:t>
      </w:r>
      <w:r w:rsidR="0045745E">
        <w:t>2.0</w:t>
      </w:r>
      <w:r w:rsidR="00F17BCD" w:rsidRPr="008A6C6D">
        <w:t>%</w:t>
      </w:r>
      <w:r w:rsidR="00A93EF4">
        <w:t>, excl</w:t>
      </w:r>
      <w:r w:rsidR="003A23E5">
        <w:t>uding</w:t>
      </w:r>
      <w:r w:rsidR="00A93EF4">
        <w:t xml:space="preserve"> business and management sciences</w:t>
      </w:r>
      <w:r w:rsidR="00F17BCD" w:rsidRPr="008A6C6D">
        <w:t>)</w:t>
      </w:r>
      <w:r w:rsidR="00B15D95">
        <w:t>. L</w:t>
      </w:r>
      <w:r w:rsidR="001033F2" w:rsidRPr="001033F2">
        <w:rPr>
          <w:shd w:val="clear" w:color="auto" w:fill="FFFFFF"/>
        </w:rPr>
        <w:t xml:space="preserve">ow percentages </w:t>
      </w:r>
      <w:r w:rsidR="000E05D4">
        <w:rPr>
          <w:shd w:val="clear" w:color="auto" w:fill="FFFFFF"/>
        </w:rPr>
        <w:t>were enrolled in</w:t>
      </w:r>
      <w:r w:rsidR="001033F2" w:rsidRPr="001033F2">
        <w:rPr>
          <w:shd w:val="clear" w:color="auto" w:fill="FFFFFF"/>
        </w:rPr>
        <w:t xml:space="preserve"> the following fields: medicine (0.</w:t>
      </w:r>
      <w:r w:rsidR="00A93EF4">
        <w:rPr>
          <w:shd w:val="clear" w:color="auto" w:fill="FFFFFF"/>
        </w:rPr>
        <w:t>4</w:t>
      </w:r>
      <w:r w:rsidR="001033F2" w:rsidRPr="001033F2">
        <w:rPr>
          <w:shd w:val="clear" w:color="auto" w:fill="FFFFFF"/>
        </w:rPr>
        <w:t>%), and natural sciences</w:t>
      </w:r>
      <w:r w:rsidR="00FF5BF9">
        <w:rPr>
          <w:shd w:val="clear" w:color="auto" w:fill="FFFFFF"/>
        </w:rPr>
        <w:t>,</w:t>
      </w:r>
      <w:r w:rsidR="001033F2" w:rsidRPr="001033F2">
        <w:rPr>
          <w:shd w:val="clear" w:color="auto" w:fill="FFFFFF"/>
        </w:rPr>
        <w:t xml:space="preserve"> mathematics</w:t>
      </w:r>
      <w:r w:rsidR="00BF4327">
        <w:rPr>
          <w:shd w:val="clear" w:color="auto" w:fill="FFFFFF"/>
        </w:rPr>
        <w:t>,</w:t>
      </w:r>
      <w:r w:rsidR="001033F2" w:rsidRPr="001033F2">
        <w:rPr>
          <w:sz w:val="28"/>
          <w:szCs w:val="28"/>
        </w:rPr>
        <w:t xml:space="preserve"> </w:t>
      </w:r>
      <w:r w:rsidR="00FF5BF9" w:rsidRPr="00FF5BF9">
        <w:t xml:space="preserve">and agriculture </w:t>
      </w:r>
      <w:r w:rsidR="00F17BCD" w:rsidRPr="001033F2">
        <w:t>(0.</w:t>
      </w:r>
      <w:r w:rsidR="00A93EF4">
        <w:t>6</w:t>
      </w:r>
      <w:r w:rsidR="00F17BCD" w:rsidRPr="001033F2">
        <w:t>%). In th</w:t>
      </w:r>
      <w:r w:rsidR="006523A7">
        <w:t>at</w:t>
      </w:r>
      <w:r w:rsidR="00F17BCD" w:rsidRPr="001033F2">
        <w:t xml:space="preserve"> year</w:t>
      </w:r>
      <w:r w:rsidR="006523A7">
        <w:t>,</w:t>
      </w:r>
      <w:r w:rsidR="00F17BCD" w:rsidRPr="001033F2">
        <w:t xml:space="preserve"> </w:t>
      </w:r>
      <w:r w:rsidR="006523A7" w:rsidRPr="006523A7">
        <w:t>students of Ethiopian origin</w:t>
      </w:r>
      <w:r w:rsidR="00F17BCD" w:rsidRPr="001033F2">
        <w:t xml:space="preserve"> </w:t>
      </w:r>
      <w:r w:rsidR="00BE0F20">
        <w:t>attended mainly the</w:t>
      </w:r>
      <w:r w:rsidR="006523A7">
        <w:t xml:space="preserve"> academic colleges (5</w:t>
      </w:r>
      <w:r w:rsidR="00A93EF4">
        <w:t>9</w:t>
      </w:r>
      <w:r w:rsidR="0045745E">
        <w:t>.</w:t>
      </w:r>
      <w:r w:rsidR="00A93EF4">
        <w:t>7</w:t>
      </w:r>
      <w:r w:rsidR="006523A7">
        <w:t xml:space="preserve">% </w:t>
      </w:r>
      <w:r w:rsidR="00F17BCD" w:rsidRPr="001033F2">
        <w:t>compared with 4</w:t>
      </w:r>
      <w:r w:rsidR="00A93EF4">
        <w:t>8</w:t>
      </w:r>
      <w:r w:rsidR="0045745E">
        <w:t>.</w:t>
      </w:r>
      <w:r w:rsidR="00A93EF4">
        <w:t>0</w:t>
      </w:r>
      <w:r w:rsidR="006523A7">
        <w:t>%</w:t>
      </w:r>
      <w:r w:rsidR="00F17BCD" w:rsidRPr="001033F2">
        <w:t xml:space="preserve"> </w:t>
      </w:r>
      <w:r w:rsidR="000E2E24">
        <w:t>of</w:t>
      </w:r>
      <w:r w:rsidR="00F17BCD" w:rsidRPr="001033F2">
        <w:t xml:space="preserve"> all students)</w:t>
      </w:r>
      <w:r w:rsidR="009E5C43">
        <w:t>, fewer attended</w:t>
      </w:r>
      <w:r w:rsidR="00F17BCD" w:rsidRPr="001033F2">
        <w:t xml:space="preserve"> universities (2</w:t>
      </w:r>
      <w:r w:rsidR="00A93EF4">
        <w:t>7</w:t>
      </w:r>
      <w:r w:rsidR="00F17BCD" w:rsidRPr="001033F2">
        <w:t>.</w:t>
      </w:r>
      <w:r w:rsidR="00A93EF4">
        <w:t>6</w:t>
      </w:r>
      <w:r w:rsidR="00F17BCD" w:rsidRPr="001033F2">
        <w:t>% versus 38.</w:t>
      </w:r>
      <w:r w:rsidR="00A93EF4">
        <w:t>6</w:t>
      </w:r>
      <w:r w:rsidR="00F17BCD" w:rsidRPr="001033F2">
        <w:t xml:space="preserve">% </w:t>
      </w:r>
      <w:r w:rsidR="000E2E24">
        <w:t>of</w:t>
      </w:r>
      <w:r w:rsidR="00F17BCD" w:rsidRPr="001033F2">
        <w:t xml:space="preserve"> all students)</w:t>
      </w:r>
      <w:r w:rsidR="009F1E79">
        <w:t>, and</w:t>
      </w:r>
      <w:r w:rsidR="00F17BCD" w:rsidRPr="001033F2">
        <w:t xml:space="preserve"> 1</w:t>
      </w:r>
      <w:r w:rsidR="00A93EF4">
        <w:t>2</w:t>
      </w:r>
      <w:r w:rsidR="0045745E">
        <w:t>.</w:t>
      </w:r>
      <w:r w:rsidR="00A93EF4">
        <w:t>7</w:t>
      </w:r>
      <w:r w:rsidR="00F17BCD" w:rsidRPr="001033F2">
        <w:t>%</w:t>
      </w:r>
      <w:r w:rsidR="006523A7">
        <w:t xml:space="preserve"> </w:t>
      </w:r>
      <w:r w:rsidR="0084360E">
        <w:t>attended</w:t>
      </w:r>
      <w:r w:rsidR="006523A7">
        <w:t xml:space="preserve"> academic colleges of education</w:t>
      </w:r>
      <w:r w:rsidR="00F17BCD" w:rsidRPr="001033F2">
        <w:t xml:space="preserve"> (</w:t>
      </w:r>
      <w:r w:rsidR="0045745E">
        <w:t>compared with</w:t>
      </w:r>
      <w:r w:rsidR="006C01EB">
        <w:t xml:space="preserve"> </w:t>
      </w:r>
      <w:r w:rsidR="0045745E">
        <w:t>1</w:t>
      </w:r>
      <w:r w:rsidR="00A93EF4">
        <w:t>3</w:t>
      </w:r>
      <w:r w:rsidR="0045745E">
        <w:t>.4</w:t>
      </w:r>
      <w:r w:rsidR="00F17BCD" w:rsidRPr="001033F2">
        <w:t xml:space="preserve">% </w:t>
      </w:r>
      <w:r w:rsidR="0045745E">
        <w:t>of</w:t>
      </w:r>
      <w:r w:rsidR="00F17BCD" w:rsidRPr="001033F2">
        <w:t xml:space="preserve"> </w:t>
      </w:r>
      <w:r w:rsidR="00D6235B">
        <w:t>all</w:t>
      </w:r>
      <w:r w:rsidR="00F17BCD" w:rsidRPr="001033F2">
        <w:t xml:space="preserve"> students).</w:t>
      </w:r>
    </w:p>
    <w:p w:rsidR="00A524F8" w:rsidRPr="001C5590" w:rsidRDefault="00A524F8" w:rsidP="00975F45">
      <w:pPr>
        <w:pStyle w:val="Heading3"/>
      </w:pPr>
      <w:r w:rsidRPr="001C5590">
        <w:t xml:space="preserve">Second </w:t>
      </w:r>
      <w:r w:rsidR="00431010" w:rsidRPr="001C5590">
        <w:t xml:space="preserve">and Third </w:t>
      </w:r>
      <w:r w:rsidRPr="001C5590">
        <w:t>Degree Studies</w:t>
      </w:r>
    </w:p>
    <w:p w:rsidR="00181EB7" w:rsidRDefault="00A524F8" w:rsidP="00AF5B98">
      <w:r w:rsidRPr="0031203B">
        <w:t>In 201</w:t>
      </w:r>
      <w:r w:rsidR="00A93EF4">
        <w:t>9</w:t>
      </w:r>
      <w:r w:rsidRPr="0031203B">
        <w:t>/</w:t>
      </w:r>
      <w:r w:rsidR="00A93EF4">
        <w:t>20</w:t>
      </w:r>
      <w:r w:rsidRPr="0031203B">
        <w:t xml:space="preserve">, </w:t>
      </w:r>
      <w:r w:rsidR="00A93EF4">
        <w:t>452</w:t>
      </w:r>
      <w:r w:rsidRPr="0031203B">
        <w:t xml:space="preserve"> </w:t>
      </w:r>
      <w:r w:rsidR="00A059F3" w:rsidRPr="0031203B">
        <w:t>s</w:t>
      </w:r>
      <w:r w:rsidR="00A059F3">
        <w:t>tudents</w:t>
      </w:r>
      <w:r w:rsidR="00A059F3" w:rsidRPr="0031203B">
        <w:t xml:space="preserve"> </w:t>
      </w:r>
      <w:r w:rsidR="00A059F3">
        <w:t xml:space="preserve">of </w:t>
      </w:r>
      <w:r w:rsidR="00A059F3" w:rsidRPr="0031203B">
        <w:t xml:space="preserve">Ethiopian </w:t>
      </w:r>
      <w:r w:rsidR="00A059F3">
        <w:t>origin</w:t>
      </w:r>
      <w:r w:rsidRPr="0031203B">
        <w:t xml:space="preserve"> studied toward</w:t>
      </w:r>
      <w:r w:rsidR="00C341F4">
        <w:t>s</w:t>
      </w:r>
      <w:r w:rsidRPr="0031203B">
        <w:t xml:space="preserve"> a second degree</w:t>
      </w:r>
      <w:r w:rsidR="00431010" w:rsidRPr="0031203B">
        <w:t xml:space="preserve">, and </w:t>
      </w:r>
      <w:r w:rsidR="00181EB7">
        <w:t>2</w:t>
      </w:r>
      <w:r w:rsidR="00A93EF4">
        <w:t>1</w:t>
      </w:r>
      <w:r w:rsidR="00431010" w:rsidRPr="0031203B">
        <w:t xml:space="preserve"> studied toward</w:t>
      </w:r>
      <w:r w:rsidR="00C341F4">
        <w:t>s</w:t>
      </w:r>
      <w:r w:rsidR="00431010" w:rsidRPr="0031203B">
        <w:t xml:space="preserve"> a third degree</w:t>
      </w:r>
      <w:r w:rsidRPr="0031203B">
        <w:t xml:space="preserve">. </w:t>
      </w:r>
      <w:r w:rsidR="006523A7" w:rsidRPr="005A1B3E">
        <w:t>The percentage</w:t>
      </w:r>
      <w:r w:rsidR="002D3378">
        <w:t>s</w:t>
      </w:r>
      <w:r w:rsidR="006523A7" w:rsidRPr="005A1B3E">
        <w:t xml:space="preserve"> of </w:t>
      </w:r>
      <w:r w:rsidR="005A1B3E" w:rsidRPr="0031203B">
        <w:t>s</w:t>
      </w:r>
      <w:r w:rsidR="005A1B3E">
        <w:t>tudents</w:t>
      </w:r>
      <w:r w:rsidR="005A1B3E" w:rsidRPr="0031203B">
        <w:t xml:space="preserve"> </w:t>
      </w:r>
      <w:r w:rsidR="005A1B3E">
        <w:t xml:space="preserve">of </w:t>
      </w:r>
      <w:r w:rsidR="005A1B3E" w:rsidRPr="0031203B">
        <w:t xml:space="preserve">Ethiopian </w:t>
      </w:r>
      <w:r w:rsidR="005A1B3E">
        <w:t>origin</w:t>
      </w:r>
      <w:r w:rsidR="0052453D">
        <w:t xml:space="preserve"> were low</w:t>
      </w:r>
      <w:r w:rsidR="006523A7" w:rsidRPr="005A1B3E">
        <w:t xml:space="preserve"> among second</w:t>
      </w:r>
      <w:r w:rsidR="0052453D">
        <w:t xml:space="preserve"> degree students (0.</w:t>
      </w:r>
      <w:r w:rsidR="00A93EF4">
        <w:t>8</w:t>
      </w:r>
      <w:r w:rsidR="0052453D">
        <w:t>%)</w:t>
      </w:r>
      <w:r w:rsidR="006523A7" w:rsidRPr="005A1B3E">
        <w:t xml:space="preserve"> and third</w:t>
      </w:r>
      <w:r w:rsidR="0052453D">
        <w:t xml:space="preserve"> </w:t>
      </w:r>
      <w:r w:rsidR="006523A7" w:rsidRPr="005A1B3E">
        <w:t xml:space="preserve">degree students </w:t>
      </w:r>
      <w:r w:rsidR="0052453D">
        <w:t>(</w:t>
      </w:r>
      <w:r w:rsidR="006523A7" w:rsidRPr="005A1B3E">
        <w:t>0.</w:t>
      </w:r>
      <w:r w:rsidR="006E5DE8">
        <w:t>2</w:t>
      </w:r>
      <w:r w:rsidR="006523A7" w:rsidRPr="005A1B3E">
        <w:t xml:space="preserve">%). The main fields </w:t>
      </w:r>
      <w:r w:rsidR="005A1B3E">
        <w:t>studied by</w:t>
      </w:r>
      <w:r w:rsidR="006523A7" w:rsidRPr="005A1B3E">
        <w:t xml:space="preserve"> </w:t>
      </w:r>
      <w:r w:rsidR="005A1B3E" w:rsidRPr="0031203B">
        <w:t>s</w:t>
      </w:r>
      <w:r w:rsidR="005A1B3E">
        <w:t>tudents</w:t>
      </w:r>
      <w:r w:rsidR="005A1B3E" w:rsidRPr="0031203B">
        <w:t xml:space="preserve"> </w:t>
      </w:r>
      <w:r w:rsidR="005A1B3E">
        <w:t xml:space="preserve">of </w:t>
      </w:r>
      <w:r w:rsidR="005A1B3E" w:rsidRPr="0031203B">
        <w:t xml:space="preserve">Ethiopian </w:t>
      </w:r>
      <w:r w:rsidR="005A1B3E">
        <w:t>origin</w:t>
      </w:r>
      <w:r w:rsidR="005A1B3E" w:rsidRPr="005A1B3E">
        <w:t xml:space="preserve"> </w:t>
      </w:r>
      <w:r w:rsidR="006523A7" w:rsidRPr="005A1B3E">
        <w:t xml:space="preserve">in the </w:t>
      </w:r>
      <w:r w:rsidR="005A1B3E">
        <w:t xml:space="preserve">second </w:t>
      </w:r>
      <w:r w:rsidR="006523A7" w:rsidRPr="005A1B3E">
        <w:t xml:space="preserve">degree programs were </w:t>
      </w:r>
      <w:r w:rsidR="005A1B3E" w:rsidRPr="005A1B3E">
        <w:t xml:space="preserve">business and </w:t>
      </w:r>
      <w:r w:rsidR="00BF4327">
        <w:t>management</w:t>
      </w:r>
      <w:r w:rsidR="005A1B3E" w:rsidRPr="005A1B3E">
        <w:t xml:space="preserve"> s</w:t>
      </w:r>
      <w:r w:rsidR="006523A7" w:rsidRPr="005A1B3E">
        <w:t>ciences (</w:t>
      </w:r>
      <w:r w:rsidR="009C35AB">
        <w:t>2</w:t>
      </w:r>
      <w:r w:rsidR="00A93EF4">
        <w:t>9</w:t>
      </w:r>
      <w:r w:rsidR="009C35AB">
        <w:t>.</w:t>
      </w:r>
      <w:r w:rsidR="00A93EF4">
        <w:t>4</w:t>
      </w:r>
      <w:r w:rsidR="006523A7" w:rsidRPr="005A1B3E">
        <w:t xml:space="preserve">%), </w:t>
      </w:r>
      <w:r w:rsidR="00760D4C">
        <w:t xml:space="preserve">humanities (25.0%), </w:t>
      </w:r>
      <w:r w:rsidR="00A93EF4">
        <w:t xml:space="preserve">and </w:t>
      </w:r>
      <w:r w:rsidR="009C35AB" w:rsidRPr="009C35AB">
        <w:t>social sciences (</w:t>
      </w:r>
      <w:r w:rsidR="009C35AB">
        <w:t>2</w:t>
      </w:r>
      <w:r w:rsidR="00A93EF4">
        <w:t>4</w:t>
      </w:r>
      <w:r w:rsidR="009C35AB">
        <w:t>.</w:t>
      </w:r>
      <w:r w:rsidR="00A93EF4">
        <w:t>8</w:t>
      </w:r>
      <w:r w:rsidR="009C35AB" w:rsidRPr="009C35AB">
        <w:t>%</w:t>
      </w:r>
      <w:r w:rsidR="007A08F3">
        <w:t>, excl</w:t>
      </w:r>
      <w:r w:rsidR="00F7549C">
        <w:t>uding</w:t>
      </w:r>
      <w:r w:rsidR="007A08F3">
        <w:t xml:space="preserve"> business and management sciences</w:t>
      </w:r>
      <w:r w:rsidR="009C35AB" w:rsidRPr="009C35AB">
        <w:t>)</w:t>
      </w:r>
      <w:r w:rsidR="005A1B3E">
        <w:t>.</w:t>
      </w:r>
    </w:p>
    <w:p w:rsidR="006B5280" w:rsidRPr="00C41996" w:rsidRDefault="000E05D4" w:rsidP="00975F45">
      <w:pPr>
        <w:rPr>
          <w:b/>
          <w:bCs/>
          <w:rtl/>
        </w:rPr>
      </w:pPr>
      <w:r w:rsidRPr="00DC7FF9">
        <w:t xml:space="preserve">In </w:t>
      </w:r>
      <w:r w:rsidR="00BF4327">
        <w:t>n</w:t>
      </w:r>
      <w:r w:rsidRPr="00DC7FF9">
        <w:t xml:space="preserve">atural </w:t>
      </w:r>
      <w:r w:rsidR="00BF4327">
        <w:t>s</w:t>
      </w:r>
      <w:r w:rsidRPr="00DC7FF9">
        <w:t xml:space="preserve">ciences, and in </w:t>
      </w:r>
      <w:r w:rsidR="00BF4327">
        <w:t>m</w:t>
      </w:r>
      <w:r w:rsidRPr="00DC7FF9">
        <w:t xml:space="preserve">athematics and </w:t>
      </w:r>
      <w:r w:rsidR="00BF4327">
        <w:t>a</w:t>
      </w:r>
      <w:r w:rsidRPr="00DC7FF9">
        <w:t xml:space="preserve">griculture as well as </w:t>
      </w:r>
      <w:r w:rsidR="0069728D" w:rsidRPr="00DC7FF9">
        <w:t xml:space="preserve">in </w:t>
      </w:r>
      <w:r w:rsidR="00BF4327">
        <w:t>e</w:t>
      </w:r>
      <w:r w:rsidRPr="00DC7FF9">
        <w:t xml:space="preserve">ngineering and </w:t>
      </w:r>
      <w:r w:rsidR="00BF4327">
        <w:t>a</w:t>
      </w:r>
      <w:r w:rsidRPr="00DC7FF9">
        <w:t>rchitecture</w:t>
      </w:r>
      <w:r w:rsidR="00F3628C" w:rsidRPr="00DC7FF9">
        <w:t>,</w:t>
      </w:r>
      <w:r w:rsidRPr="00DC7FF9">
        <w:t xml:space="preserve"> there were few students of Ethiopian origin – 4.4% </w:t>
      </w:r>
      <w:r w:rsidR="006B5280" w:rsidRPr="00DC7FF9">
        <w:t xml:space="preserve">and 4.0% </w:t>
      </w:r>
      <w:r w:rsidR="00DC7FF9" w:rsidRPr="00DC7FF9">
        <w:t xml:space="preserve">out </w:t>
      </w:r>
      <w:r w:rsidRPr="00DC7FF9">
        <w:t>of all students of Ethiopian or</w:t>
      </w:r>
      <w:r w:rsidR="006B5280" w:rsidRPr="00DC7FF9">
        <w:t>igin, respectively.</w:t>
      </w:r>
      <w:r w:rsidR="00BF4327">
        <w:t xml:space="preserve"> </w:t>
      </w:r>
      <w:r w:rsidR="00C41996">
        <w:t>H</w:t>
      </w:r>
      <w:r w:rsidR="006B5280" w:rsidRPr="00C41996">
        <w:t xml:space="preserve">owever, enrollment in these fields was higher </w:t>
      </w:r>
      <w:r w:rsidR="00C41996">
        <w:t>a</w:t>
      </w:r>
      <w:r w:rsidR="00C41996" w:rsidRPr="00C41996">
        <w:t xml:space="preserve">mong the total number of students </w:t>
      </w:r>
      <w:r w:rsidR="006B5280" w:rsidRPr="00C41996">
        <w:t>(10.1% and 6.5%, respectively).</w:t>
      </w:r>
    </w:p>
    <w:p w:rsidR="00474127" w:rsidRPr="001C5590" w:rsidRDefault="00474127" w:rsidP="000F495A">
      <w:pPr>
        <w:pStyle w:val="Heading2"/>
      </w:pPr>
      <w:r>
        <w:t xml:space="preserve">Active </w:t>
      </w:r>
      <w:r w:rsidRPr="001C5590">
        <w:t>Athletes</w:t>
      </w:r>
    </w:p>
    <w:p w:rsidR="006B5280" w:rsidRDefault="00AE1D7D" w:rsidP="00AF5B98">
      <w:r w:rsidRPr="0031203B">
        <w:t xml:space="preserve">In </w:t>
      </w:r>
      <w:r>
        <w:t>2018/19, there were 2,101</w:t>
      </w:r>
      <w:r w:rsidRPr="0031203B">
        <w:t xml:space="preserve"> active athletes</w:t>
      </w:r>
      <w:r w:rsidRPr="00A059F3">
        <w:rPr>
          <w:vertAlign w:val="superscript"/>
        </w:rPr>
        <w:footnoteReference w:id="15"/>
      </w:r>
      <w:r>
        <w:t xml:space="preserve"> of </w:t>
      </w:r>
      <w:r w:rsidRPr="0031203B">
        <w:t xml:space="preserve">Ethiopian </w:t>
      </w:r>
      <w:r>
        <w:t>origin, 1.</w:t>
      </w:r>
      <w:r w:rsidR="005C23C1">
        <w:t>7</w:t>
      </w:r>
      <w:r>
        <w:t>% of the population of active athlet</w:t>
      </w:r>
      <w:r w:rsidR="006B5280">
        <w:t>es.</w:t>
      </w:r>
      <w:r w:rsidR="005C23C1">
        <w:t xml:space="preserve"> </w:t>
      </w:r>
      <w:r w:rsidR="006B5280" w:rsidRPr="005C23C1">
        <w:t>By comparison, the percentage of students of Ethiopian origin that year out of the total population of Jews and Others in that age group was 1.9%.</w:t>
      </w:r>
    </w:p>
    <w:p w:rsidR="00AE1D7D" w:rsidRDefault="00474127" w:rsidP="00AF5B98">
      <w:r w:rsidRPr="0031203B">
        <w:t xml:space="preserve">In </w:t>
      </w:r>
      <w:r>
        <w:t>2017/18, there were 1,781</w:t>
      </w:r>
      <w:r w:rsidRPr="0031203B">
        <w:t xml:space="preserve"> active athletes</w:t>
      </w:r>
      <w:r>
        <w:t xml:space="preserve"> of </w:t>
      </w:r>
      <w:r w:rsidRPr="0031203B">
        <w:t xml:space="preserve">Ethiopian </w:t>
      </w:r>
      <w:r>
        <w:t>origin</w:t>
      </w:r>
      <w:r w:rsidR="003229AF">
        <w:t>, comprising roughly 1.9% of the total number of active athletes</w:t>
      </w:r>
      <w:r>
        <w:t>.</w:t>
      </w:r>
    </w:p>
    <w:p w:rsidR="00474127" w:rsidRPr="0031203B" w:rsidRDefault="00474127" w:rsidP="00AF5B98">
      <w:r w:rsidRPr="0031203B">
        <w:t>Women comprised</w:t>
      </w:r>
      <w:r>
        <w:t xml:space="preserve"> </w:t>
      </w:r>
      <w:r w:rsidR="00B819B9">
        <w:rPr>
          <w:rFonts w:hint="cs"/>
          <w:rtl/>
        </w:rPr>
        <w:t>10</w:t>
      </w:r>
      <w:r>
        <w:t>.</w:t>
      </w:r>
      <w:r w:rsidR="00B819B9">
        <w:rPr>
          <w:rFonts w:hint="cs"/>
          <w:rtl/>
        </w:rPr>
        <w:t>9</w:t>
      </w:r>
      <w:r w:rsidRPr="0031203B">
        <w:t xml:space="preserve">% of active </w:t>
      </w:r>
      <w:r>
        <w:t xml:space="preserve">athletes of </w:t>
      </w:r>
      <w:r w:rsidRPr="0031203B">
        <w:t xml:space="preserve">Ethiopian </w:t>
      </w:r>
      <w:r>
        <w:t xml:space="preserve">origin. This was a </w:t>
      </w:r>
      <w:r w:rsidR="00B819B9">
        <w:t>high</w:t>
      </w:r>
      <w:r>
        <w:t xml:space="preserve">er percentage than the previous year </w:t>
      </w:r>
      <w:r w:rsidR="003E731B">
        <w:t>–</w:t>
      </w:r>
      <w:r>
        <w:t xml:space="preserve"> </w:t>
      </w:r>
      <w:r w:rsidR="003E731B">
        <w:t>9.0</w:t>
      </w:r>
      <w:r>
        <w:t xml:space="preserve">% </w:t>
      </w:r>
      <w:r w:rsidR="001076FC">
        <w:t>–</w:t>
      </w:r>
      <w:r>
        <w:t xml:space="preserve"> but still less than the percentage of women among</w:t>
      </w:r>
      <w:r w:rsidRPr="0031203B">
        <w:t xml:space="preserve"> the active athletes in the </w:t>
      </w:r>
      <w:r>
        <w:t>overall</w:t>
      </w:r>
      <w:r w:rsidRPr="0031203B">
        <w:t xml:space="preserve"> population</w:t>
      </w:r>
      <w:r>
        <w:t xml:space="preserve"> </w:t>
      </w:r>
      <w:r w:rsidR="001076FC">
        <w:t>–</w:t>
      </w:r>
      <w:r>
        <w:t xml:space="preserve"> 23.</w:t>
      </w:r>
      <w:r w:rsidR="003E731B">
        <w:t>7</w:t>
      </w:r>
      <w:r>
        <w:t>%</w:t>
      </w:r>
      <w:r w:rsidRPr="0031203B">
        <w:t>.</w:t>
      </w:r>
    </w:p>
    <w:p w:rsidR="00474127" w:rsidRDefault="00474127" w:rsidP="00AF5B98">
      <w:r>
        <w:t>An examination by age shows that 6</w:t>
      </w:r>
      <w:r w:rsidR="003E731B">
        <w:t>4</w:t>
      </w:r>
      <w:r>
        <w:t>.</w:t>
      </w:r>
      <w:r w:rsidR="003E731B">
        <w:t>1</w:t>
      </w:r>
      <w:r>
        <w:t>% of the active athletes of Ethiopian origin range from 12 to 17 years of age, whe</w:t>
      </w:r>
      <w:r w:rsidR="00F71FAD">
        <w:t>reas</w:t>
      </w:r>
      <w:r>
        <w:t xml:space="preserve"> 2</w:t>
      </w:r>
      <w:r w:rsidR="003E731B">
        <w:t>5</w:t>
      </w:r>
      <w:r>
        <w:t>.</w:t>
      </w:r>
      <w:r w:rsidR="003E731B">
        <w:t>1</w:t>
      </w:r>
      <w:r>
        <w:t>% are 18 to 24 years of age. The percentage of active athletes in the remaining age groups is lower than 10%.</w:t>
      </w:r>
    </w:p>
    <w:p w:rsidR="00474127" w:rsidRPr="00AF5B98" w:rsidRDefault="00474127" w:rsidP="00AF5B98">
      <w:pPr>
        <w:jc w:val="center"/>
        <w:rPr>
          <w:b/>
          <w:bCs/>
        </w:rPr>
      </w:pPr>
      <w:r w:rsidRPr="00AF5B98">
        <w:rPr>
          <w:b/>
          <w:bCs/>
        </w:rPr>
        <w:t>Diagram 1</w:t>
      </w:r>
      <w:r w:rsidR="003E731B" w:rsidRPr="00AF5B98">
        <w:rPr>
          <w:b/>
          <w:bCs/>
        </w:rPr>
        <w:t>1</w:t>
      </w:r>
      <w:r w:rsidR="00684DBE" w:rsidRPr="00AF5B98">
        <w:rPr>
          <w:b/>
          <w:bCs/>
        </w:rPr>
        <w:t xml:space="preserve"> -</w:t>
      </w:r>
      <w:r w:rsidRPr="00AF5B98">
        <w:rPr>
          <w:b/>
          <w:bCs/>
        </w:rPr>
        <w:t xml:space="preserve"> Percentage of Active Athletes of Ethiopian Origin of Total Number of Active Athletes, by Age </w:t>
      </w:r>
      <w:r w:rsidR="005D31B4" w:rsidRPr="00AF5B98">
        <w:rPr>
          <w:b/>
          <w:bCs/>
        </w:rPr>
        <w:t>(</w:t>
      </w:r>
      <w:r w:rsidRPr="00AF5B98">
        <w:rPr>
          <w:b/>
          <w:bCs/>
        </w:rPr>
        <w:t>201</w:t>
      </w:r>
      <w:r w:rsidR="003E731B" w:rsidRPr="00AF5B98">
        <w:rPr>
          <w:b/>
          <w:bCs/>
        </w:rPr>
        <w:t>8</w:t>
      </w:r>
      <w:r w:rsidRPr="00AF5B98">
        <w:rPr>
          <w:b/>
          <w:bCs/>
        </w:rPr>
        <w:t>/1</w:t>
      </w:r>
      <w:r w:rsidR="003E731B" w:rsidRPr="00AF5B98">
        <w:rPr>
          <w:b/>
          <w:bCs/>
        </w:rPr>
        <w:t>9</w:t>
      </w:r>
      <w:r w:rsidR="005D31B4" w:rsidRPr="00AF5B98">
        <w:rPr>
          <w:b/>
          <w:bCs/>
        </w:rPr>
        <w:t>)</w:t>
      </w:r>
    </w:p>
    <w:p w:rsidR="00474127" w:rsidRDefault="00F66B6C" w:rsidP="00C21133">
      <w:pPr>
        <w:pStyle w:val="diagram"/>
      </w:pPr>
      <w:r>
        <w:rPr>
          <w:noProof/>
          <w:lang w:eastAsia="en-US"/>
        </w:rPr>
        <w:drawing>
          <wp:inline distT="0" distB="0" distL="0" distR="0" wp14:anchorId="15C836C0" wp14:editId="3CE9155A">
            <wp:extent cx="4491808" cy="3053301"/>
            <wp:effectExtent l="0" t="0" r="4445" b="0"/>
            <wp:docPr id="13" name="Picture 13" descr="Diagram 11 - Percentage of Active Athletes of Ethiopian Origin of Total Number of Active Athletes, by Age, 2018/19" title="Diagram 11 - Percentage of Active Athletes of Ethiopian Origin of Total Number of Active Athletes, by Age, 201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91357" cy="3052995"/>
                    </a:xfrm>
                    <a:prstGeom prst="rect">
                      <a:avLst/>
                    </a:prstGeom>
                    <a:noFill/>
                  </pic:spPr>
                </pic:pic>
              </a:graphicData>
            </a:graphic>
          </wp:inline>
        </w:drawing>
      </w:r>
    </w:p>
    <w:p w:rsidR="00474127" w:rsidRDefault="00A77377" w:rsidP="00AF5B98">
      <w:r>
        <w:t>O</w:t>
      </w:r>
      <w:r w:rsidR="00474127">
        <w:t xml:space="preserve">f the total number of athletes of Ethiopian </w:t>
      </w:r>
      <w:r>
        <w:t xml:space="preserve">origin, 84.6% </w:t>
      </w:r>
      <w:r w:rsidR="00474127">
        <w:t>train in team sports, and the rest (15.4%) in individual sports.</w:t>
      </w:r>
    </w:p>
    <w:p w:rsidR="00474127" w:rsidRDefault="00474127" w:rsidP="00AF5B98">
      <w:r>
        <w:t>The most prevalent sports among athletes of Ethiopian origin are:</w:t>
      </w:r>
    </w:p>
    <w:p w:rsidR="00553189" w:rsidRDefault="00160DF6" w:rsidP="00AF5B98">
      <w:pPr>
        <w:pStyle w:val="bullet1"/>
        <w:tabs>
          <w:tab w:val="clear" w:pos="720"/>
          <w:tab w:val="num" w:pos="1134"/>
        </w:tabs>
        <w:spacing w:after="0"/>
        <w:ind w:left="426" w:hanging="357"/>
      </w:pPr>
      <w:r>
        <w:t>Football</w:t>
      </w:r>
      <w:r w:rsidR="00474127">
        <w:t>: 1,</w:t>
      </w:r>
      <w:r w:rsidR="003E731B">
        <w:t>561</w:t>
      </w:r>
      <w:r w:rsidR="00474127">
        <w:t xml:space="preserve"> athletes, who </w:t>
      </w:r>
      <w:r w:rsidR="00F71FAD">
        <w:t xml:space="preserve">comprise </w:t>
      </w:r>
      <w:r w:rsidR="00474127">
        <w:t>4.</w:t>
      </w:r>
      <w:r w:rsidR="003E731B">
        <w:t>6</w:t>
      </w:r>
      <w:r w:rsidR="00474127">
        <w:t xml:space="preserve">% of the total number of athletes in the sport </w:t>
      </w:r>
      <w:r w:rsidR="003E7498">
        <w:t>–</w:t>
      </w:r>
      <w:r w:rsidR="00474127">
        <w:t xml:space="preserve"> a </w:t>
      </w:r>
      <w:r w:rsidR="004E507B">
        <w:t>percentage</w:t>
      </w:r>
      <w:r w:rsidR="00474127">
        <w:t xml:space="preserve"> similar to that of the previous year </w:t>
      </w:r>
      <w:r w:rsidR="00D87B2E">
        <w:t>(</w:t>
      </w:r>
      <w:r w:rsidR="00474127">
        <w:t>4.</w:t>
      </w:r>
      <w:r w:rsidR="003E731B">
        <w:t>4</w:t>
      </w:r>
      <w:r w:rsidR="00474127">
        <w:t>%</w:t>
      </w:r>
      <w:r w:rsidR="00D87B2E">
        <w:t>)</w:t>
      </w:r>
    </w:p>
    <w:p w:rsidR="00474127" w:rsidRDefault="00474127" w:rsidP="00AF5B98">
      <w:pPr>
        <w:pStyle w:val="bullet1"/>
        <w:tabs>
          <w:tab w:val="clear" w:pos="720"/>
          <w:tab w:val="num" w:pos="1134"/>
        </w:tabs>
        <w:spacing w:after="0"/>
        <w:ind w:left="426" w:hanging="357"/>
      </w:pPr>
      <w:r>
        <w:t>Basketball: 1</w:t>
      </w:r>
      <w:r w:rsidR="003E731B">
        <w:t>59</w:t>
      </w:r>
      <w:r>
        <w:t xml:space="preserve"> athletes, who </w:t>
      </w:r>
      <w:r w:rsidR="00160DF6">
        <w:t xml:space="preserve">comprise </w:t>
      </w:r>
      <w:r>
        <w:t>0.</w:t>
      </w:r>
      <w:r w:rsidR="003E731B">
        <w:t>6</w:t>
      </w:r>
      <w:r>
        <w:t xml:space="preserve">% of the total number of athletes in the sport </w:t>
      </w:r>
      <w:r w:rsidR="003E7498">
        <w:t>–</w:t>
      </w:r>
      <w:r>
        <w:t xml:space="preserve"> a percentage similar to </w:t>
      </w:r>
      <w:r w:rsidR="00F40647">
        <w:t xml:space="preserve">that of </w:t>
      </w:r>
      <w:r>
        <w:t xml:space="preserve">the previous year </w:t>
      </w:r>
      <w:r w:rsidR="00D87B2E">
        <w:t>(</w:t>
      </w:r>
      <w:r>
        <w:t>0.5%</w:t>
      </w:r>
      <w:r w:rsidR="00D87B2E">
        <w:t>)</w:t>
      </w:r>
    </w:p>
    <w:p w:rsidR="00474127" w:rsidRDefault="00474127" w:rsidP="00AF5B98">
      <w:pPr>
        <w:pStyle w:val="bullet1"/>
        <w:tabs>
          <w:tab w:val="clear" w:pos="720"/>
          <w:tab w:val="num" w:pos="1134"/>
        </w:tabs>
        <w:spacing w:after="0"/>
        <w:ind w:left="426" w:hanging="357"/>
      </w:pPr>
      <w:r>
        <w:t xml:space="preserve">Athletics: </w:t>
      </w:r>
      <w:r w:rsidR="003E731B">
        <w:t>89</w:t>
      </w:r>
      <w:r>
        <w:t xml:space="preserve"> athletes, who </w:t>
      </w:r>
      <w:r w:rsidR="00160DF6">
        <w:t>comprise</w:t>
      </w:r>
      <w:r>
        <w:t xml:space="preserve"> about </w:t>
      </w:r>
      <w:r w:rsidR="003E731B">
        <w:t>4.5</w:t>
      </w:r>
      <w:r>
        <w:t xml:space="preserve">% of the total number of athletes in the sport </w:t>
      </w:r>
      <w:r w:rsidR="00D87B2E">
        <w:t>–</w:t>
      </w:r>
      <w:r>
        <w:t xml:space="preserve"> a lower percentage than </w:t>
      </w:r>
      <w:r w:rsidR="00D87B2E">
        <w:t>that of</w:t>
      </w:r>
      <w:r>
        <w:t xml:space="preserve"> the previous year </w:t>
      </w:r>
      <w:r w:rsidR="00D87B2E">
        <w:t>(</w:t>
      </w:r>
      <w:r w:rsidR="003E731B">
        <w:t>5.0</w:t>
      </w:r>
      <w:r>
        <w:t>%</w:t>
      </w:r>
      <w:r w:rsidR="00D87B2E">
        <w:t>)</w:t>
      </w:r>
    </w:p>
    <w:p w:rsidR="00474127" w:rsidRPr="00894B50" w:rsidRDefault="00474127" w:rsidP="00AF5B98">
      <w:r>
        <w:t xml:space="preserve">The vast majority of athletes of Ethiopian </w:t>
      </w:r>
      <w:r w:rsidR="00F71FAD">
        <w:t>origin</w:t>
      </w:r>
      <w:r w:rsidR="00412734">
        <w:t xml:space="preserve"> (74.3%) </w:t>
      </w:r>
      <w:r>
        <w:t xml:space="preserve">play </w:t>
      </w:r>
      <w:r w:rsidR="00684DBE">
        <w:t>football</w:t>
      </w:r>
      <w:r>
        <w:t>, compared with 2</w:t>
      </w:r>
      <w:r w:rsidR="003E731B">
        <w:t>7</w:t>
      </w:r>
      <w:r>
        <w:t>.</w:t>
      </w:r>
      <w:r w:rsidR="003E731B">
        <w:t>7</w:t>
      </w:r>
      <w:r>
        <w:t>% of the total number of active athletes who play soccer</w:t>
      </w:r>
      <w:r w:rsidR="00F71FAD">
        <w:t>.</w:t>
      </w:r>
    </w:p>
    <w:p w:rsidR="00B805D7" w:rsidRPr="00F71FAD" w:rsidRDefault="00EC2107" w:rsidP="00F8092C">
      <w:pPr>
        <w:pStyle w:val="Heading2"/>
      </w:pPr>
      <w:r w:rsidRPr="00F71FAD">
        <w:t xml:space="preserve">Persons Registered at </w:t>
      </w:r>
      <w:r w:rsidR="00A00E60" w:rsidRPr="00F71FAD">
        <w:t xml:space="preserve">the </w:t>
      </w:r>
      <w:r w:rsidR="00A00E60" w:rsidRPr="00F71FAD">
        <w:rPr>
          <w:rFonts w:eastAsiaTheme="minorHAnsi"/>
        </w:rPr>
        <w:t>Ministry of Labor, Social Affairs and Social Services</w:t>
      </w:r>
      <w:r w:rsidR="00A00E60" w:rsidRPr="00F71FAD">
        <w:t xml:space="preserve"> and </w:t>
      </w:r>
      <w:r w:rsidR="00A00E60">
        <w:t xml:space="preserve">persons </w:t>
      </w:r>
      <w:r w:rsidRPr="00F71FAD">
        <w:t xml:space="preserve">Defined as </w:t>
      </w:r>
      <w:r w:rsidR="00107404" w:rsidRPr="00F71FAD">
        <w:t>Needing</w:t>
      </w:r>
      <w:r w:rsidRPr="00F71FAD">
        <w:t xml:space="preserve"> Intervention</w:t>
      </w:r>
      <w:r w:rsidR="00474127" w:rsidRPr="00E7016C">
        <w:rPr>
          <w:rStyle w:val="FootnoteReference"/>
          <w:color w:val="548DD4" w:themeColor="text2" w:themeTint="99"/>
          <w:sz w:val="24"/>
          <w:szCs w:val="24"/>
        </w:rPr>
        <w:footnoteReference w:id="16"/>
      </w:r>
    </w:p>
    <w:p w:rsidR="00EC2107" w:rsidRDefault="0039383B" w:rsidP="00AF5B98">
      <w:r>
        <w:t>Approximately 3</w:t>
      </w:r>
      <w:r w:rsidR="00474127">
        <w:rPr>
          <w:rFonts w:hint="cs"/>
          <w:rtl/>
        </w:rPr>
        <w:t>0</w:t>
      </w:r>
      <w:r>
        <w:t xml:space="preserve">,000 immigrants of Ethiopian origin </w:t>
      </w:r>
      <w:r w:rsidR="004140A9">
        <w:t>(a rate of about 3</w:t>
      </w:r>
      <w:r w:rsidR="00F71FAD">
        <w:t xml:space="preserve">41 </w:t>
      </w:r>
      <w:r w:rsidR="004140A9">
        <w:t>per 1,000</w:t>
      </w:r>
      <w:r w:rsidR="001D299F" w:rsidRPr="001D299F">
        <w:t xml:space="preserve"> </w:t>
      </w:r>
      <w:r w:rsidR="001D299F">
        <w:t>persons</w:t>
      </w:r>
      <w:r w:rsidR="004140A9">
        <w:t xml:space="preserve">) </w:t>
      </w:r>
      <w:r>
        <w:t>were registered</w:t>
      </w:r>
      <w:r w:rsidR="00474127">
        <w:rPr>
          <w:rStyle w:val="FootnoteReference"/>
        </w:rPr>
        <w:footnoteReference w:id="17"/>
      </w:r>
      <w:r>
        <w:t xml:space="preserve"> at the Ministry of Labor, </w:t>
      </w:r>
      <w:r w:rsidR="00F148DB">
        <w:t>Social Affairs</w:t>
      </w:r>
      <w:r>
        <w:t xml:space="preserve"> and Social Services in 201</w:t>
      </w:r>
      <w:r w:rsidR="00474127">
        <w:t>9</w:t>
      </w:r>
      <w:r w:rsidR="00F71FAD">
        <w:t xml:space="preserve"> (compared with a rate of </w:t>
      </w:r>
      <w:r w:rsidR="00381714">
        <w:t xml:space="preserve">about </w:t>
      </w:r>
      <w:r w:rsidR="00F71FAD">
        <w:t>376 per 1,000 persons in 2018)</w:t>
      </w:r>
      <w:r>
        <w:t xml:space="preserve">. </w:t>
      </w:r>
      <w:r w:rsidR="006B5280">
        <w:t xml:space="preserve">That is, </w:t>
      </w:r>
      <w:r w:rsidR="0084033D">
        <w:t>one</w:t>
      </w:r>
      <w:r w:rsidR="006B5280">
        <w:t xml:space="preserve"> out of </w:t>
      </w:r>
      <w:r w:rsidR="0084033D">
        <w:t>three</w:t>
      </w:r>
      <w:r w:rsidR="00846DAC">
        <w:t xml:space="preserve"> Ethiopian-born </w:t>
      </w:r>
      <w:r w:rsidR="00A00E60">
        <w:t>persons</w:t>
      </w:r>
      <w:r w:rsidR="00846DAC">
        <w:t xml:space="preserve"> was</w:t>
      </w:r>
      <w:r w:rsidR="006B5280">
        <w:t xml:space="preserve"> registered at social services department</w:t>
      </w:r>
      <w:r w:rsidR="00F148DB">
        <w:t>s</w:t>
      </w:r>
      <w:r w:rsidR="006B5280">
        <w:t xml:space="preserve">. This percentage is 2.5 times higher than the </w:t>
      </w:r>
      <w:r w:rsidR="00FB39B4">
        <w:t>registration</w:t>
      </w:r>
      <w:r w:rsidR="00A86B66">
        <w:t xml:space="preserve"> rate of Jews and Others among persons born abroad, which was about 134</w:t>
      </w:r>
      <w:r w:rsidR="00E06920">
        <w:t xml:space="preserve"> per 1,000 persons</w:t>
      </w:r>
      <w:r w:rsidR="00AF013E">
        <w:t>.</w:t>
      </w:r>
      <w:r w:rsidR="00A86B66">
        <w:rPr>
          <w:rStyle w:val="FootnoteReference"/>
        </w:rPr>
        <w:footnoteReference w:id="18"/>
      </w:r>
      <w:r w:rsidR="00FF4759">
        <w:t xml:space="preserve"> </w:t>
      </w:r>
      <w:r w:rsidR="00B15C38">
        <w:t xml:space="preserve">Of the </w:t>
      </w:r>
      <w:r w:rsidR="00E251A9">
        <w:t>Ethiopian-born persons</w:t>
      </w:r>
      <w:r w:rsidR="00AD2302">
        <w:t xml:space="preserve"> </w:t>
      </w:r>
      <w:r w:rsidR="00A86B66">
        <w:t xml:space="preserve">who were </w:t>
      </w:r>
      <w:r w:rsidR="00AD2302">
        <w:t>registered</w:t>
      </w:r>
      <w:r w:rsidR="00107404">
        <w:t>, approximately 80% were defined as needing intervention</w:t>
      </w:r>
      <w:r w:rsidR="00675A9C">
        <w:t>.</w:t>
      </w:r>
      <w:r w:rsidR="00182D08">
        <w:rPr>
          <w:rStyle w:val="FootnoteReference"/>
        </w:rPr>
        <w:footnoteReference w:id="19"/>
      </w:r>
      <w:r w:rsidR="00F747C5">
        <w:t xml:space="preserve"> They numbered about 24,000 persons, and their rate was approximately 273 per 1,000 persons (compared </w:t>
      </w:r>
      <w:r w:rsidR="00E251A9">
        <w:t>with</w:t>
      </w:r>
      <w:r w:rsidR="00F747C5">
        <w:t xml:space="preserve"> about 309 per 1,000 persons in 2018).</w:t>
      </w:r>
    </w:p>
    <w:p w:rsidR="00180E74" w:rsidRDefault="00DF0B51" w:rsidP="00AF5B98">
      <w:r>
        <w:t xml:space="preserve">Approximately </w:t>
      </w:r>
      <w:r w:rsidR="00465982">
        <w:t>19</w:t>
      </w:r>
      <w:r>
        <w:t>,</w:t>
      </w:r>
      <w:r w:rsidR="00465982">
        <w:t>5</w:t>
      </w:r>
      <w:r>
        <w:t xml:space="preserve">00 </w:t>
      </w:r>
      <w:r w:rsidR="00AD2302">
        <w:t xml:space="preserve">persons </w:t>
      </w:r>
      <w:r>
        <w:t xml:space="preserve">born in Israel whose fathers </w:t>
      </w:r>
      <w:r w:rsidR="00F95435">
        <w:t>were born in</w:t>
      </w:r>
      <w:r>
        <w:t xml:space="preserve"> Ethiopia (</w:t>
      </w:r>
      <w:r w:rsidR="00DD76AD">
        <w:t xml:space="preserve">hereinafter: </w:t>
      </w:r>
      <w:r>
        <w:t xml:space="preserve">the second generation) were registered, </w:t>
      </w:r>
      <w:r w:rsidR="000F256D">
        <w:t>a rate of</w:t>
      </w:r>
      <w:r>
        <w:t xml:space="preserve"> about </w:t>
      </w:r>
      <w:r w:rsidR="00E46436">
        <w:t>288</w:t>
      </w:r>
      <w:r>
        <w:t xml:space="preserve"> per 1,000 persons</w:t>
      </w:r>
      <w:r w:rsidR="004D2038">
        <w:t xml:space="preserve"> (compared with about 309 per 1,000 persons in 2018)</w:t>
      </w:r>
      <w:r w:rsidR="0033024C">
        <w:t xml:space="preserve">. </w:t>
      </w:r>
      <w:r w:rsidR="004D2038">
        <w:t>This percentage is three times the percentage of Israeli-born persons who are registered (about 96 per 1,000 persons). Only 40% of those registered were defined as needing intervention. Their number was about 8,000, and their rate was about 115 per 1,000 persons.</w:t>
      </w:r>
    </w:p>
    <w:p w:rsidR="00465982" w:rsidRDefault="00264D32" w:rsidP="00AF5B98">
      <w:pPr>
        <w:rPr>
          <w:b/>
        </w:rPr>
      </w:pPr>
      <w:r>
        <w:t xml:space="preserve">In 2019, the </w:t>
      </w:r>
      <w:r w:rsidR="00425BB2">
        <w:t xml:space="preserve">most often cited </w:t>
      </w:r>
      <w:r w:rsidR="00D4000F">
        <w:t>reason for needing</w:t>
      </w:r>
      <w:r w:rsidR="002404A5">
        <w:t xml:space="preserve"> intervention </w:t>
      </w:r>
      <w:r w:rsidR="00736C65">
        <w:t xml:space="preserve">among </w:t>
      </w:r>
      <w:r w:rsidR="00E251A9">
        <w:t>Ethiopian-born persons</w:t>
      </w:r>
      <w:r w:rsidR="00736C65">
        <w:t xml:space="preserve"> and</w:t>
      </w:r>
      <w:r w:rsidR="00BD081B">
        <w:t xml:space="preserve"> among</w:t>
      </w:r>
      <w:r w:rsidR="00736C65">
        <w:t xml:space="preserve"> the second generation who were defined as needing intervention was dysfunctional parents and/or children/adolescents (approximately 43%).</w:t>
      </w:r>
      <w:r w:rsidR="00465982">
        <w:rPr>
          <w:rStyle w:val="FootnoteReference"/>
        </w:rPr>
        <w:footnoteReference w:id="20"/>
      </w:r>
      <w:r w:rsidR="00736C65">
        <w:t xml:space="preserve"> The </w:t>
      </w:r>
      <w:r w:rsidR="00D4000F">
        <w:t xml:space="preserve">second most </w:t>
      </w:r>
      <w:r w:rsidR="00425BB2">
        <w:t>prevalent</w:t>
      </w:r>
      <w:r w:rsidR="00D4000F">
        <w:t xml:space="preserve"> reason for needing intervention </w:t>
      </w:r>
      <w:r w:rsidR="004F3A45">
        <w:t xml:space="preserve">was poverty, </w:t>
      </w:r>
      <w:r w:rsidR="000B6BDE">
        <w:t xml:space="preserve">income and employment problems (approximately 27%). The least </w:t>
      </w:r>
      <w:r w:rsidR="0013692E">
        <w:t>common</w:t>
      </w:r>
      <w:r w:rsidR="000B6BDE">
        <w:t xml:space="preserve"> reason for needing intervention was </w:t>
      </w:r>
      <w:r w:rsidR="00941700">
        <w:t xml:space="preserve">addiction and delinquency (approximately </w:t>
      </w:r>
      <w:r w:rsidR="00465982">
        <w:t>2</w:t>
      </w:r>
      <w:r w:rsidR="00E374CF">
        <w:t>%).</w:t>
      </w:r>
    </w:p>
    <w:p w:rsidR="0072328B" w:rsidRPr="00AF5B98" w:rsidRDefault="00465982" w:rsidP="00AF5B98">
      <w:pPr>
        <w:jc w:val="center"/>
        <w:rPr>
          <w:b/>
          <w:bCs/>
        </w:rPr>
      </w:pPr>
      <w:r w:rsidRPr="00AF5B98">
        <w:rPr>
          <w:b/>
          <w:bCs/>
        </w:rPr>
        <w:t>Diagram 12</w:t>
      </w:r>
      <w:r w:rsidR="00E251A9" w:rsidRPr="00AF5B98">
        <w:rPr>
          <w:b/>
          <w:bCs/>
        </w:rPr>
        <w:t xml:space="preserve"> -</w:t>
      </w:r>
      <w:r w:rsidRPr="00AF5B98">
        <w:rPr>
          <w:b/>
          <w:bCs/>
        </w:rPr>
        <w:t xml:space="preserve"> </w:t>
      </w:r>
      <w:r w:rsidR="0072328B" w:rsidRPr="00AF5B98">
        <w:rPr>
          <w:b/>
          <w:bCs/>
        </w:rPr>
        <w:t>Type of Need</w:t>
      </w:r>
      <w:r w:rsidR="006A4FF0" w:rsidRPr="00AF5B98">
        <w:rPr>
          <w:b/>
          <w:bCs/>
        </w:rPr>
        <w:t xml:space="preserve"> for Intervention</w:t>
      </w:r>
      <w:r w:rsidR="0072328B" w:rsidRPr="00AF5B98">
        <w:rPr>
          <w:b/>
          <w:bCs/>
        </w:rPr>
        <w:t xml:space="preserve"> among </w:t>
      </w:r>
      <w:r w:rsidR="00E251A9" w:rsidRPr="00AF5B98">
        <w:rPr>
          <w:b/>
          <w:bCs/>
        </w:rPr>
        <w:t xml:space="preserve">Ethiopian-born persons </w:t>
      </w:r>
      <w:r w:rsidR="0072328B" w:rsidRPr="00AF5B98">
        <w:rPr>
          <w:b/>
          <w:bCs/>
        </w:rPr>
        <w:t xml:space="preserve">and the Second Generation of </w:t>
      </w:r>
      <w:r w:rsidR="00E251A9" w:rsidRPr="00AF5B98">
        <w:rPr>
          <w:b/>
          <w:bCs/>
        </w:rPr>
        <w:t xml:space="preserve">Ethiopian-born Persons </w:t>
      </w:r>
      <w:r w:rsidR="006E79CA" w:rsidRPr="00AF5B98">
        <w:rPr>
          <w:b/>
          <w:bCs/>
        </w:rPr>
        <w:t>Who Needed Intervention</w:t>
      </w:r>
      <w:r w:rsidR="0072328B" w:rsidRPr="00AF5B98">
        <w:rPr>
          <w:b/>
          <w:bCs/>
        </w:rPr>
        <w:t>, 2019</w:t>
      </w:r>
    </w:p>
    <w:p w:rsidR="00D1432C" w:rsidRDefault="00D1432C" w:rsidP="00C21133">
      <w:pPr>
        <w:pStyle w:val="diagram"/>
      </w:pPr>
      <w:r>
        <w:rPr>
          <w:noProof/>
          <w:lang w:eastAsia="en-US"/>
        </w:rPr>
        <w:drawing>
          <wp:inline distT="0" distB="0" distL="0" distR="0" wp14:anchorId="54E500F9" wp14:editId="70634425">
            <wp:extent cx="5478780" cy="3398520"/>
            <wp:effectExtent l="0" t="0" r="7620" b="0"/>
            <wp:docPr id="17" name="Picture 17" descr="Diagram 12 - Type of Need for Intervention among Ethiopian-born persons and the Second Generation of Ethiopian-born Persons Who Needed Intervention, 2019" title="Diagram 12 - Type of Need for Intervention among Ethiopian-born persons and the Second Generation of Ethiopian-born Persons Who Needed Intervention,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78780" cy="3398520"/>
                    </a:xfrm>
                    <a:prstGeom prst="rect">
                      <a:avLst/>
                    </a:prstGeom>
                    <a:noFill/>
                  </pic:spPr>
                </pic:pic>
              </a:graphicData>
            </a:graphic>
          </wp:inline>
        </w:drawing>
      </w:r>
    </w:p>
    <w:p w:rsidR="00A34479" w:rsidRPr="00AF5B98" w:rsidRDefault="00AD2302" w:rsidP="00AF5B98">
      <w:pPr>
        <w:rPr>
          <w:b/>
          <w:bCs/>
        </w:rPr>
      </w:pPr>
      <w:r w:rsidRPr="00AF5B98">
        <w:rPr>
          <w:b/>
          <w:bCs/>
        </w:rPr>
        <w:t>Recipients of Welfare Services in Community and Out-of-Home Frameworks of the</w:t>
      </w:r>
      <w:r w:rsidR="00917D80" w:rsidRPr="00AF5B98">
        <w:rPr>
          <w:b/>
          <w:bCs/>
        </w:rPr>
        <w:t xml:space="preserve"> </w:t>
      </w:r>
      <w:r w:rsidRPr="00AF5B98">
        <w:rPr>
          <w:rFonts w:asciiTheme="minorBidi" w:eastAsiaTheme="minorHAnsi" w:hAnsiTheme="minorBidi" w:cstheme="minorBidi"/>
          <w:b/>
          <w:bCs/>
        </w:rPr>
        <w:t>Ministry of Labor, Social Affairs and Social Services</w:t>
      </w:r>
      <w:r w:rsidR="00465982" w:rsidRPr="00AF5B98">
        <w:rPr>
          <w:rStyle w:val="FootnoteReference"/>
          <w:rFonts w:asciiTheme="minorBidi" w:eastAsiaTheme="minorHAnsi" w:hAnsiTheme="minorBidi"/>
          <w:b/>
          <w:bCs/>
        </w:rPr>
        <w:footnoteReference w:id="21"/>
      </w:r>
    </w:p>
    <w:p w:rsidR="00917D80" w:rsidRDefault="003902A8" w:rsidP="00AF5B98">
      <w:r>
        <w:t>In 201</w:t>
      </w:r>
      <w:r w:rsidR="00465982">
        <w:t>9</w:t>
      </w:r>
      <w:r>
        <w:t>, a</w:t>
      </w:r>
      <w:r w:rsidR="00E63C98">
        <w:t xml:space="preserve">pproximately </w:t>
      </w:r>
      <w:r w:rsidR="00465982">
        <w:t>4</w:t>
      </w:r>
      <w:r w:rsidR="00E63C98">
        <w:t>,</w:t>
      </w:r>
      <w:r w:rsidR="00465982">
        <w:t>7</w:t>
      </w:r>
      <w:r w:rsidR="00E63C98">
        <w:t xml:space="preserve">00 </w:t>
      </w:r>
      <w:r w:rsidR="00E251A9">
        <w:t xml:space="preserve">Ethiopian-born persons </w:t>
      </w:r>
      <w:r w:rsidR="00477D12">
        <w:t>(about 5</w:t>
      </w:r>
      <w:r w:rsidR="00BF74E5">
        <w:t>3</w:t>
      </w:r>
      <w:r w:rsidR="00477D12">
        <w:t xml:space="preserve"> per 1,000</w:t>
      </w:r>
      <w:r w:rsidR="001D299F">
        <w:t xml:space="preserve"> persons</w:t>
      </w:r>
      <w:r w:rsidR="00477D12">
        <w:t xml:space="preserve">), and approximately 5,500 </w:t>
      </w:r>
      <w:r w:rsidR="00E251A9">
        <w:t>persons</w:t>
      </w:r>
      <w:r w:rsidR="00477D12">
        <w:t xml:space="preserve"> of the second generation</w:t>
      </w:r>
      <w:r w:rsidR="00E251A9">
        <w:t xml:space="preserve"> </w:t>
      </w:r>
      <w:r w:rsidR="00477D12">
        <w:t>(about 8</w:t>
      </w:r>
      <w:r w:rsidR="00BF74E5">
        <w:t>1</w:t>
      </w:r>
      <w:r w:rsidR="00477D12">
        <w:t xml:space="preserve"> per 1,000</w:t>
      </w:r>
      <w:r w:rsidR="001D299F" w:rsidRPr="001D299F">
        <w:t xml:space="preserve"> </w:t>
      </w:r>
      <w:r w:rsidR="001D299F">
        <w:t>persons</w:t>
      </w:r>
      <w:r w:rsidR="00477D12">
        <w:t xml:space="preserve">) </w:t>
      </w:r>
      <w:r w:rsidR="00E63C98">
        <w:t xml:space="preserve">were placed in </w:t>
      </w:r>
      <w:r w:rsidR="00574381">
        <w:t xml:space="preserve">settings of the </w:t>
      </w:r>
      <w:r w:rsidR="00AD2302" w:rsidRPr="00EB35FD">
        <w:rPr>
          <w:rFonts w:asciiTheme="minorBidi" w:eastAsiaTheme="minorHAnsi" w:hAnsiTheme="minorBidi" w:cstheme="minorBidi"/>
        </w:rPr>
        <w:t>Ministry of Labor, Social Affairs and Social Services</w:t>
      </w:r>
      <w:r w:rsidR="00E11CE9">
        <w:t>.</w:t>
      </w:r>
    </w:p>
    <w:p w:rsidR="00E251A9" w:rsidRDefault="00E251A9" w:rsidP="00975F45">
      <w:r>
        <w:br w:type="page"/>
      </w:r>
    </w:p>
    <w:p w:rsidR="00E11CE9" w:rsidRDefault="003D0203" w:rsidP="00AF5B98">
      <w:r>
        <w:t xml:space="preserve">Among </w:t>
      </w:r>
      <w:r w:rsidR="00E251A9">
        <w:t>Ethiopian-born persons</w:t>
      </w:r>
      <w:r>
        <w:t>:</w:t>
      </w:r>
    </w:p>
    <w:p w:rsidR="003D0203" w:rsidRDefault="00383D6B" w:rsidP="00A720E6">
      <w:pPr>
        <w:pStyle w:val="bullet1"/>
      </w:pPr>
      <w:r>
        <w:t xml:space="preserve">The rate of persons placed in </w:t>
      </w:r>
      <w:r w:rsidR="00DC70E7">
        <w:t>out-of-home frameworks</w:t>
      </w:r>
      <w:r w:rsidR="00BF74E5">
        <w:rPr>
          <w:rStyle w:val="FootnoteReference"/>
        </w:rPr>
        <w:footnoteReference w:id="22"/>
      </w:r>
      <w:r>
        <w:t xml:space="preserve"> </w:t>
      </w:r>
      <w:r w:rsidR="00D53631">
        <w:t xml:space="preserve">only </w:t>
      </w:r>
      <w:r>
        <w:t>was about 5 per 1,000</w:t>
      </w:r>
      <w:r w:rsidR="00C2136F">
        <w:t xml:space="preserve"> persons</w:t>
      </w:r>
      <w:r>
        <w:t>.</w:t>
      </w:r>
    </w:p>
    <w:p w:rsidR="00C067C9" w:rsidRPr="00C067C9" w:rsidRDefault="00383D6B" w:rsidP="005A0CFC">
      <w:pPr>
        <w:pStyle w:val="bullet1"/>
      </w:pPr>
      <w:r>
        <w:t xml:space="preserve">The rate of persons placed in community </w:t>
      </w:r>
      <w:r w:rsidR="005A0CFC">
        <w:t>frameworks</w:t>
      </w:r>
      <w:r w:rsidR="00BF74E5">
        <w:rPr>
          <w:rStyle w:val="FootnoteReference"/>
        </w:rPr>
        <w:footnoteReference w:id="23"/>
      </w:r>
      <w:r w:rsidR="00DC70E7">
        <w:t xml:space="preserve"> </w:t>
      </w:r>
      <w:r w:rsidR="005F48AE">
        <w:t xml:space="preserve">only </w:t>
      </w:r>
      <w:r>
        <w:t>was about 4</w:t>
      </w:r>
      <w:r w:rsidR="00BF74E5">
        <w:t>7</w:t>
      </w:r>
      <w:r>
        <w:t xml:space="preserve"> per 1,000</w:t>
      </w:r>
      <w:r w:rsidR="00C2136F">
        <w:t xml:space="preserve"> persons</w:t>
      </w:r>
      <w:r w:rsidR="00C067C9">
        <w:t xml:space="preserve"> – </w:t>
      </w:r>
      <w:r w:rsidR="00A65FED" w:rsidRPr="00C067C9">
        <w:t xml:space="preserve">twice as high as the </w:t>
      </w:r>
      <w:r w:rsidR="00D7553F">
        <w:t xml:space="preserve">overall </w:t>
      </w:r>
      <w:r w:rsidR="00A65FED" w:rsidRPr="00C067C9">
        <w:t xml:space="preserve">rate of persons placed in community </w:t>
      </w:r>
      <w:r w:rsidR="005A0CFC">
        <w:t>frameworks</w:t>
      </w:r>
      <w:r w:rsidR="00A65FED" w:rsidRPr="00C067C9">
        <w:t xml:space="preserve"> </w:t>
      </w:r>
      <w:r w:rsidR="00FC388A">
        <w:t xml:space="preserve">only </w:t>
      </w:r>
      <w:r w:rsidR="00A65FED" w:rsidRPr="00C067C9">
        <w:t>(about 23 per 1,000 persons).</w:t>
      </w:r>
    </w:p>
    <w:p w:rsidR="00383D6B" w:rsidRDefault="00383D6B" w:rsidP="00C067C9">
      <w:pPr>
        <w:pStyle w:val="bullet1"/>
      </w:pPr>
      <w:r>
        <w:t xml:space="preserve">The rate of persons </w:t>
      </w:r>
      <w:r w:rsidR="006028FD">
        <w:t xml:space="preserve">placed in </w:t>
      </w:r>
      <w:r w:rsidR="00BF74E5">
        <w:t xml:space="preserve">both community and </w:t>
      </w:r>
      <w:r w:rsidR="00DC70E7">
        <w:t xml:space="preserve">out-of-home frameworks </w:t>
      </w:r>
      <w:r>
        <w:t xml:space="preserve">was about </w:t>
      </w:r>
      <w:r w:rsidR="00BF74E5">
        <w:t>1.6</w:t>
      </w:r>
      <w:r>
        <w:t xml:space="preserve"> per 1,000</w:t>
      </w:r>
      <w:r w:rsidR="00C2136F">
        <w:t xml:space="preserve"> persons</w:t>
      </w:r>
      <w:r>
        <w:t>.</w:t>
      </w:r>
    </w:p>
    <w:p w:rsidR="00383D6B" w:rsidRDefault="00383D6B" w:rsidP="00AF5B98">
      <w:pPr>
        <w:pStyle w:val="text1"/>
        <w:tabs>
          <w:tab w:val="left" w:pos="7393"/>
        </w:tabs>
      </w:pPr>
      <w:r>
        <w:t xml:space="preserve">Among the second generation of </w:t>
      </w:r>
      <w:r w:rsidR="004939AC">
        <w:t>Ethiopian-born persons</w:t>
      </w:r>
      <w:r>
        <w:t>:</w:t>
      </w:r>
      <w:r w:rsidR="00AF5B98">
        <w:tab/>
      </w:r>
    </w:p>
    <w:p w:rsidR="00383D6B" w:rsidRDefault="00C2136F" w:rsidP="00A720E6">
      <w:pPr>
        <w:pStyle w:val="bullet1"/>
      </w:pPr>
      <w:r>
        <w:t xml:space="preserve">The rate of persons </w:t>
      </w:r>
      <w:r w:rsidR="006028FD">
        <w:t>placed in</w:t>
      </w:r>
      <w:r w:rsidR="00DC70E7">
        <w:t xml:space="preserve"> out-of-home frameworks </w:t>
      </w:r>
      <w:r>
        <w:t>was about 9 per 1,000 persons</w:t>
      </w:r>
    </w:p>
    <w:p w:rsidR="00C2136F" w:rsidRDefault="00C2136F" w:rsidP="00BF74E5">
      <w:pPr>
        <w:pStyle w:val="bullet1"/>
      </w:pPr>
      <w:r>
        <w:t xml:space="preserve">The rate of persons </w:t>
      </w:r>
      <w:r w:rsidR="006028FD">
        <w:t>placed</w:t>
      </w:r>
      <w:r w:rsidR="00DC70E7">
        <w:t xml:space="preserve"> in community frameworks </w:t>
      </w:r>
      <w:r>
        <w:t>was about 7</w:t>
      </w:r>
      <w:r w:rsidR="00BF74E5">
        <w:t>0</w:t>
      </w:r>
      <w:r>
        <w:t xml:space="preserve"> per 1,000 persons</w:t>
      </w:r>
      <w:r w:rsidR="00A65FED">
        <w:t xml:space="preserve">. This is three times higher than the total number of persons placed in community settings (about </w:t>
      </w:r>
      <w:r w:rsidR="00904FBC">
        <w:t>23 per 1,000 persons).</w:t>
      </w:r>
    </w:p>
    <w:p w:rsidR="00C2136F" w:rsidRDefault="00904FBC" w:rsidP="0038568B">
      <w:pPr>
        <w:pStyle w:val="bullet1"/>
      </w:pPr>
      <w:r>
        <w:t>T</w:t>
      </w:r>
      <w:r w:rsidR="00C2136F">
        <w:t xml:space="preserve">he rate of persons </w:t>
      </w:r>
      <w:r w:rsidR="006028FD">
        <w:t xml:space="preserve">placed in </w:t>
      </w:r>
      <w:r w:rsidR="00DC70E7">
        <w:t>both</w:t>
      </w:r>
      <w:r w:rsidR="00DC70E7" w:rsidRPr="00DC70E7">
        <w:t xml:space="preserve"> </w:t>
      </w:r>
      <w:r w:rsidR="00A720E6">
        <w:t xml:space="preserve">community and </w:t>
      </w:r>
      <w:r w:rsidR="00DC70E7">
        <w:t xml:space="preserve">out-of-home frameworks </w:t>
      </w:r>
      <w:r w:rsidR="00C2136F">
        <w:t>was about 2 per 1,000 persons.</w:t>
      </w:r>
    </w:p>
    <w:p w:rsidR="00E636B9" w:rsidRDefault="00E636B9" w:rsidP="00975F45">
      <w:r>
        <w:br w:type="page"/>
      </w:r>
    </w:p>
    <w:p w:rsidR="00630EE2" w:rsidRPr="00AF5B98" w:rsidRDefault="00630EE2" w:rsidP="00C86068">
      <w:pPr>
        <w:pStyle w:val="Heading3"/>
      </w:pPr>
      <w:r w:rsidRPr="00AF5B98">
        <w:t xml:space="preserve">Persons With Disabilities: </w:t>
      </w:r>
      <w:r w:rsidR="000C0D4A" w:rsidRPr="00AF5B98">
        <w:t>Persons</w:t>
      </w:r>
      <w:r w:rsidRPr="00AF5B98">
        <w:t xml:space="preserve"> </w:t>
      </w:r>
      <w:r w:rsidR="00DB24F8" w:rsidRPr="00AF5B98">
        <w:t>Holding</w:t>
      </w:r>
      <w:r w:rsidRPr="00AF5B98">
        <w:t xml:space="preserve"> a Certificate of Blindness/Visual Impairment and </w:t>
      </w:r>
      <w:r w:rsidR="004939AC" w:rsidRPr="00AF5B98">
        <w:t xml:space="preserve">IDF </w:t>
      </w:r>
      <w:r w:rsidRPr="00AF5B98">
        <w:t>Disabled Veterans</w:t>
      </w:r>
    </w:p>
    <w:p w:rsidR="006E4D58" w:rsidRDefault="000619D5" w:rsidP="00AF5B98">
      <w:r>
        <w:t xml:space="preserve">Of the overall number of </w:t>
      </w:r>
      <w:r w:rsidR="00AF05ED">
        <w:t>persons holding a certificate of blindness/visual impairment</w:t>
      </w:r>
      <w:r w:rsidR="006E4D58" w:rsidRPr="000619D5">
        <w:rPr>
          <w:rStyle w:val="FootnoteReference"/>
        </w:rPr>
        <w:footnoteReference w:id="24"/>
      </w:r>
      <w:r w:rsidR="006E4D58">
        <w:t xml:space="preserve"> </w:t>
      </w:r>
      <w:r w:rsidR="008B4270">
        <w:t xml:space="preserve">issued by </w:t>
      </w:r>
      <w:r w:rsidR="004832BC">
        <w:t xml:space="preserve">the </w:t>
      </w:r>
      <w:r w:rsidR="008B4270">
        <w:t>Ministry of Labour, Social Affairs, and Social Services</w:t>
      </w:r>
      <w:r w:rsidR="00576165">
        <w:t xml:space="preserve">, about 2.5% were born in Ethiopia, and their rate is approximately </w:t>
      </w:r>
      <w:r w:rsidR="00802EF0">
        <w:t>7</w:t>
      </w:r>
      <w:r w:rsidR="00576165">
        <w:t xml:space="preserve"> per 1,000 persons. This </w:t>
      </w:r>
      <w:r w:rsidR="00AD33E8">
        <w:t xml:space="preserve">figure </w:t>
      </w:r>
      <w:r w:rsidR="007A78F5">
        <w:t>is</w:t>
      </w:r>
      <w:r w:rsidR="00576165">
        <w:t xml:space="preserve"> </w:t>
      </w:r>
      <w:r w:rsidR="00C6680A">
        <w:t xml:space="preserve">2.5 times higher than the </w:t>
      </w:r>
      <w:r w:rsidR="00E232F0">
        <w:t>general rate among holders of a certificate</w:t>
      </w:r>
      <w:r w:rsidR="00AD33E8">
        <w:t xml:space="preserve"> of blindness/visual impairment, which </w:t>
      </w:r>
      <w:r w:rsidR="007756B9">
        <w:t>was 2.7 per 1,000 persons.</w:t>
      </w:r>
    </w:p>
    <w:p w:rsidR="007756B9" w:rsidRPr="000619D5" w:rsidRDefault="007D052E" w:rsidP="00AF5B98">
      <w:r>
        <w:t>Of</w:t>
      </w:r>
      <w:r w:rsidR="007756B9">
        <w:t xml:space="preserve"> </w:t>
      </w:r>
      <w:r w:rsidR="00402F1D">
        <w:t xml:space="preserve">all </w:t>
      </w:r>
      <w:r w:rsidR="00802EF0">
        <w:t xml:space="preserve">the disabled IDF veterans whose </w:t>
      </w:r>
      <w:r w:rsidR="003B2852">
        <w:t>disability</w:t>
      </w:r>
      <w:r w:rsidR="0098606A">
        <w:t xml:space="preserve"> was recognized</w:t>
      </w:r>
      <w:r w:rsidR="003B2852">
        <w:t xml:space="preserve"> after 1986</w:t>
      </w:r>
      <w:r w:rsidR="0070132F">
        <w:t xml:space="preserve"> (after Operation Moses)</w:t>
      </w:r>
      <w:r w:rsidR="00633A2F">
        <w:t xml:space="preserve">, about one percent </w:t>
      </w:r>
      <w:r w:rsidR="008234E8">
        <w:t xml:space="preserve">were found to have been born in Ethiopia or </w:t>
      </w:r>
      <w:r w:rsidR="008D4FEC">
        <w:t xml:space="preserve">members of the second generation of </w:t>
      </w:r>
      <w:r w:rsidR="009B5AA1">
        <w:t>persons born in Ethiopia.</w:t>
      </w:r>
    </w:p>
    <w:p w:rsidR="00987331" w:rsidRDefault="00987331" w:rsidP="00975F45">
      <w:pPr>
        <w:pStyle w:val="Heading3"/>
      </w:pPr>
      <w:r>
        <w:t>Persons of Ethiopian Origin Judged in Criminal Trials</w:t>
      </w:r>
      <w:r>
        <w:rPr>
          <w:rStyle w:val="FootnoteReference"/>
        </w:rPr>
        <w:footnoteReference w:id="25"/>
      </w:r>
    </w:p>
    <w:p w:rsidR="00987331" w:rsidRDefault="00AB3F6C" w:rsidP="00AF5B98">
      <w:r>
        <w:t>In 201</w:t>
      </w:r>
      <w:r w:rsidR="00BF74E5">
        <w:rPr>
          <w:rFonts w:hint="cs"/>
          <w:rtl/>
        </w:rPr>
        <w:t>8</w:t>
      </w:r>
      <w:r>
        <w:t>, 1,2</w:t>
      </w:r>
      <w:r w:rsidR="00BF74E5">
        <w:rPr>
          <w:rFonts w:hint="cs"/>
          <w:rtl/>
        </w:rPr>
        <w:t>57</w:t>
      </w:r>
      <w:r>
        <w:t xml:space="preserve"> Jewish and Other residents of Israel of Ethiopian origin </w:t>
      </w:r>
      <w:r w:rsidR="00802EF0">
        <w:t xml:space="preserve">were judged in criminal trials </w:t>
      </w:r>
      <w:r>
        <w:t xml:space="preserve">(of whom </w:t>
      </w:r>
      <w:r w:rsidR="00BF74E5">
        <w:rPr>
          <w:rFonts w:hint="cs"/>
          <w:rtl/>
        </w:rPr>
        <w:t>750</w:t>
      </w:r>
      <w:r>
        <w:t xml:space="preserve"> were born in Ethiopia and </w:t>
      </w:r>
      <w:r w:rsidR="00BF74E5">
        <w:rPr>
          <w:rFonts w:hint="cs"/>
          <w:rtl/>
        </w:rPr>
        <w:t>507</w:t>
      </w:r>
      <w:r>
        <w:t xml:space="preserve"> were born in Israel and their fathers were born in Ethio</w:t>
      </w:r>
      <w:r w:rsidR="00903492">
        <w:t>p</w:t>
      </w:r>
      <w:r>
        <w:t>ia).</w:t>
      </w:r>
    </w:p>
    <w:p w:rsidR="006D287C" w:rsidRDefault="00AB3F6C" w:rsidP="00AF5B98">
      <w:r>
        <w:t xml:space="preserve">The percentage of </w:t>
      </w:r>
      <w:r w:rsidR="004B56C2">
        <w:t xml:space="preserve">persons of Ethiopian origin who </w:t>
      </w:r>
      <w:r w:rsidR="00B65CD2">
        <w:t xml:space="preserve">were judged </w:t>
      </w:r>
      <w:r w:rsidR="00434CAE">
        <w:t xml:space="preserve">constituted </w:t>
      </w:r>
      <w:r w:rsidR="00BF74E5">
        <w:rPr>
          <w:rFonts w:hint="cs"/>
          <w:rtl/>
        </w:rPr>
        <w:t>7.4</w:t>
      </w:r>
      <w:r w:rsidR="00B65CD2">
        <w:t>% of</w:t>
      </w:r>
      <w:r w:rsidR="00434CAE" w:rsidRPr="00434CAE">
        <w:t xml:space="preserve"> </w:t>
      </w:r>
      <w:r w:rsidR="00434CAE">
        <w:t>the total number of residents of Israel in the Jewish and Other</w:t>
      </w:r>
      <w:r w:rsidR="00B65CD2">
        <w:t xml:space="preserve"> population who were judged. The </w:t>
      </w:r>
      <w:r w:rsidR="00230126">
        <w:t xml:space="preserve">percentage of </w:t>
      </w:r>
      <w:r w:rsidR="00DC70E7">
        <w:t xml:space="preserve">juvenile </w:t>
      </w:r>
      <w:r w:rsidR="00230126">
        <w:t>immigrants of Ethiopian origin (14.</w:t>
      </w:r>
      <w:r w:rsidR="00BF74E5">
        <w:rPr>
          <w:rFonts w:hint="cs"/>
          <w:rtl/>
        </w:rPr>
        <w:t>1</w:t>
      </w:r>
      <w:r w:rsidR="00230126">
        <w:t xml:space="preserve">%) was </w:t>
      </w:r>
      <w:r w:rsidR="00903492">
        <w:t>much</w:t>
      </w:r>
      <w:r w:rsidR="00230126">
        <w:t xml:space="preserve"> higher than </w:t>
      </w:r>
      <w:r w:rsidR="0065037B">
        <w:t>that</w:t>
      </w:r>
      <w:r w:rsidR="00230126">
        <w:t xml:space="preserve"> of adults (6.</w:t>
      </w:r>
      <w:r w:rsidR="00BF74E5">
        <w:rPr>
          <w:rFonts w:hint="cs"/>
          <w:rtl/>
        </w:rPr>
        <w:t>9</w:t>
      </w:r>
      <w:r w:rsidR="00230126">
        <w:t>%).</w:t>
      </w:r>
    </w:p>
    <w:p w:rsidR="006D287C" w:rsidRDefault="006D287C" w:rsidP="00975F45">
      <w:r>
        <w:br w:type="page"/>
      </w:r>
    </w:p>
    <w:p w:rsidR="00ED0D61" w:rsidRPr="00AF5B98" w:rsidRDefault="004365F9" w:rsidP="00AF5B98">
      <w:pPr>
        <w:jc w:val="center"/>
        <w:rPr>
          <w:b/>
          <w:bCs/>
        </w:rPr>
      </w:pPr>
      <w:r w:rsidRPr="00AF5B98">
        <w:rPr>
          <w:b/>
          <w:bCs/>
        </w:rPr>
        <w:t>Diagram 13</w:t>
      </w:r>
      <w:r w:rsidR="00F9644F" w:rsidRPr="00AF5B98">
        <w:rPr>
          <w:b/>
          <w:bCs/>
        </w:rPr>
        <w:t xml:space="preserve"> -</w:t>
      </w:r>
      <w:r w:rsidRPr="00AF5B98">
        <w:rPr>
          <w:b/>
          <w:bCs/>
        </w:rPr>
        <w:t xml:space="preserve"> </w:t>
      </w:r>
      <w:r w:rsidR="00ED0D61" w:rsidRPr="00AF5B98">
        <w:rPr>
          <w:b/>
          <w:bCs/>
        </w:rPr>
        <w:t xml:space="preserve">Percentage of Persons of Ethiopian Origin </w:t>
      </w:r>
      <w:r w:rsidR="009B62FB" w:rsidRPr="00AF5B98">
        <w:rPr>
          <w:b/>
          <w:bCs/>
        </w:rPr>
        <w:t>out of</w:t>
      </w:r>
      <w:r w:rsidR="00ED0D61" w:rsidRPr="00AF5B98">
        <w:rPr>
          <w:b/>
          <w:bCs/>
        </w:rPr>
        <w:t xml:space="preserve"> Jewish and Other Israeli Residents Who Were Judged in Criminal Trials, by Age of Criminal Responsibility</w:t>
      </w:r>
      <w:r w:rsidR="00A75387" w:rsidRPr="00AF5B98">
        <w:rPr>
          <w:b/>
          <w:bCs/>
        </w:rPr>
        <w:t xml:space="preserve"> </w:t>
      </w:r>
      <w:r w:rsidR="00ED0D61" w:rsidRPr="00AF5B98">
        <w:rPr>
          <w:b/>
          <w:bCs/>
        </w:rPr>
        <w:t>(Year of Verdict 2018)</w:t>
      </w:r>
    </w:p>
    <w:p w:rsidR="0092478A" w:rsidRPr="00C21133" w:rsidRDefault="00DA19A5" w:rsidP="00C21133">
      <w:pPr>
        <w:pStyle w:val="diagram"/>
      </w:pPr>
      <w:r>
        <w:rPr>
          <w:noProof/>
          <w:lang w:eastAsia="en-US"/>
        </w:rPr>
        <w:drawing>
          <wp:inline distT="0" distB="0" distL="0" distR="0" wp14:anchorId="460BEED0" wp14:editId="52D581B2">
            <wp:extent cx="4024654" cy="2406770"/>
            <wp:effectExtent l="0" t="0" r="0" b="0"/>
            <wp:docPr id="18" name="Picture 18" descr="Diagram 13 - Percentage of Persons of Ethiopian Origin out of Jewish and Other Israeli Residents Who Were Judged in Criminal Trials, by Age of Criminal Responsibility (Year of Verdict 2018)" title="Diagram 13 - Percentage of Persons of Ethiopian Origin out of Jewish and Other Israeli Residents Who Were Judged in Criminal Trials, by Age of Criminal Responsibility (Year of Verdict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024654" cy="2406770"/>
                    </a:xfrm>
                    <a:prstGeom prst="rect">
                      <a:avLst/>
                    </a:prstGeom>
                    <a:noFill/>
                  </pic:spPr>
                </pic:pic>
              </a:graphicData>
            </a:graphic>
          </wp:inline>
        </w:drawing>
      </w:r>
    </w:p>
    <w:p w:rsidR="00230126" w:rsidRDefault="00230126" w:rsidP="00AF5B98">
      <w:r>
        <w:t>M</w:t>
      </w:r>
      <w:r w:rsidR="00F9644F">
        <w:t>en</w:t>
      </w:r>
      <w:r>
        <w:t xml:space="preserve"> comprised 9</w:t>
      </w:r>
      <w:r w:rsidR="00D31A72">
        <w:t>3</w:t>
      </w:r>
      <w:r>
        <w:t>.</w:t>
      </w:r>
      <w:r w:rsidR="00D31A72">
        <w:t>6</w:t>
      </w:r>
      <w:r>
        <w:t xml:space="preserve">% of the adults of Ethiopian origin who were judged. </w:t>
      </w:r>
      <w:r w:rsidR="007C2015">
        <w:t>This percentage was higher than</w:t>
      </w:r>
      <w:r>
        <w:t xml:space="preserve"> the percentage of m</w:t>
      </w:r>
      <w:r w:rsidR="00F9644F">
        <w:t>en</w:t>
      </w:r>
      <w:r>
        <w:t xml:space="preserve"> </w:t>
      </w:r>
      <w:r w:rsidR="008C690B">
        <w:t>among the total number of adult Jews and Other</w:t>
      </w:r>
      <w:r w:rsidR="007E2EA2">
        <w:t>s</w:t>
      </w:r>
      <w:r w:rsidR="008C690B">
        <w:t xml:space="preserve"> who were judged</w:t>
      </w:r>
      <w:r w:rsidR="00CD2C84">
        <w:t xml:space="preserve">: </w:t>
      </w:r>
      <w:r w:rsidR="008C690B">
        <w:t>8</w:t>
      </w:r>
      <w:r w:rsidR="00D31A72">
        <w:t>8</w:t>
      </w:r>
      <w:r w:rsidR="008C690B">
        <w:t>.</w:t>
      </w:r>
      <w:r w:rsidR="00D31A72">
        <w:t>8</w:t>
      </w:r>
      <w:r w:rsidR="008C690B">
        <w:t>%.</w:t>
      </w:r>
    </w:p>
    <w:p w:rsidR="000B4992" w:rsidRDefault="000B4992" w:rsidP="00AF5B98">
      <w:r>
        <w:t xml:space="preserve">Among </w:t>
      </w:r>
      <w:r w:rsidR="002B4F8F">
        <w:t xml:space="preserve">juveniles </w:t>
      </w:r>
      <w:r>
        <w:t>of Ethiopian origin</w:t>
      </w:r>
      <w:r w:rsidR="0062207B">
        <w:t xml:space="preserve"> who were judged, the percentage of </w:t>
      </w:r>
      <w:r w:rsidR="00F9644F">
        <w:t>boys</w:t>
      </w:r>
      <w:r w:rsidR="0062207B">
        <w:t xml:space="preserve"> was 9</w:t>
      </w:r>
      <w:r w:rsidR="00D31A72">
        <w:t>7</w:t>
      </w:r>
      <w:r w:rsidR="0062207B">
        <w:t>.</w:t>
      </w:r>
      <w:r w:rsidR="00D31A72">
        <w:t>8</w:t>
      </w:r>
      <w:r w:rsidR="0062207B">
        <w:t xml:space="preserve">%. By way of comparison, the percentage of </w:t>
      </w:r>
      <w:r w:rsidR="00F9644F">
        <w:t>boys</w:t>
      </w:r>
      <w:r w:rsidR="0062207B">
        <w:t xml:space="preserve"> among the total number of </w:t>
      </w:r>
      <w:r w:rsidR="00DC70E7">
        <w:t xml:space="preserve">juvenile </w:t>
      </w:r>
      <w:r w:rsidR="0062207B">
        <w:t>residents of Israel in the Jews and Others group who were judged was 9</w:t>
      </w:r>
      <w:r w:rsidR="00D31A72">
        <w:t>4</w:t>
      </w:r>
      <w:r w:rsidR="0062207B">
        <w:t>.</w:t>
      </w:r>
      <w:r w:rsidR="00D31A72">
        <w:t>2</w:t>
      </w:r>
      <w:r w:rsidR="0062207B">
        <w:t>%.</w:t>
      </w:r>
    </w:p>
    <w:p w:rsidR="00D35E50" w:rsidRDefault="00C9202D" w:rsidP="00AF5B98">
      <w:r>
        <w:t xml:space="preserve">The percentage of </w:t>
      </w:r>
      <w:r w:rsidR="00D06654">
        <w:t>persons convicted among adults of Ethiopian origin who were judged in criminal trials was 8</w:t>
      </w:r>
      <w:r w:rsidR="00D31A72">
        <w:t>6</w:t>
      </w:r>
      <w:r w:rsidR="00D06654">
        <w:t>.</w:t>
      </w:r>
      <w:r w:rsidR="00D31A72">
        <w:t>2</w:t>
      </w:r>
      <w:r w:rsidR="00D06654">
        <w:t xml:space="preserve">%, slightly higher than the percentage of persons convicted among the </w:t>
      </w:r>
      <w:r w:rsidR="00E33DFC">
        <w:t>overall</w:t>
      </w:r>
      <w:r w:rsidR="00D06654">
        <w:t xml:space="preserve"> population of residents of Israel in the Jewish and Others group who were judged (8</w:t>
      </w:r>
      <w:r w:rsidR="00D31A72">
        <w:t>5</w:t>
      </w:r>
      <w:r w:rsidR="00D06654">
        <w:t>.</w:t>
      </w:r>
      <w:r w:rsidR="00D31A72">
        <w:t>2</w:t>
      </w:r>
      <w:r w:rsidR="00D06654">
        <w:t xml:space="preserve">%). </w:t>
      </w:r>
      <w:r w:rsidR="00F9644F">
        <w:t>T</w:t>
      </w:r>
      <w:r w:rsidR="00721FA7">
        <w:t xml:space="preserve">he percentage of </w:t>
      </w:r>
      <w:r w:rsidR="00DC70E7">
        <w:t xml:space="preserve">persons convicted </w:t>
      </w:r>
      <w:r w:rsidR="00721FA7">
        <w:t xml:space="preserve">among </w:t>
      </w:r>
      <w:r w:rsidR="00DC70E7">
        <w:t xml:space="preserve">juveniles </w:t>
      </w:r>
      <w:r w:rsidR="00721FA7">
        <w:t>of Ethiopian origin who were judged (</w:t>
      </w:r>
      <w:r w:rsidR="00D31A72">
        <w:t>39</w:t>
      </w:r>
      <w:r w:rsidR="00721FA7">
        <w:t>.</w:t>
      </w:r>
      <w:r w:rsidR="00D31A72">
        <w:t>7</w:t>
      </w:r>
      <w:r w:rsidR="00721FA7">
        <w:t xml:space="preserve">%) was </w:t>
      </w:r>
      <w:r w:rsidR="00F9644F">
        <w:t>similar to</w:t>
      </w:r>
      <w:r w:rsidR="00721FA7">
        <w:t xml:space="preserve"> </w:t>
      </w:r>
      <w:r w:rsidR="00F40FED">
        <w:t xml:space="preserve">the percentage of </w:t>
      </w:r>
      <w:r w:rsidR="00F9644F">
        <w:t>juveniles among the</w:t>
      </w:r>
      <w:r w:rsidR="00F40FED">
        <w:t xml:space="preserve"> Jews and Others </w:t>
      </w:r>
      <w:r w:rsidR="007E2EA2">
        <w:t>group</w:t>
      </w:r>
      <w:r w:rsidR="00F40FED">
        <w:t xml:space="preserve"> (3</w:t>
      </w:r>
      <w:r w:rsidR="00D31A72">
        <w:t>9</w:t>
      </w:r>
      <w:r w:rsidR="00F40FED">
        <w:t>.</w:t>
      </w:r>
      <w:r w:rsidR="00D31A72">
        <w:t>6</w:t>
      </w:r>
      <w:r w:rsidR="00F40FED">
        <w:t>%).</w:t>
      </w:r>
    </w:p>
    <w:p w:rsidR="00483CAE" w:rsidRDefault="00483CAE" w:rsidP="00AF5B98">
      <w:r>
        <w:t>Among adults of Ethiopian origin who were judged, close to half (4</w:t>
      </w:r>
      <w:r w:rsidR="0092478A">
        <w:t>5</w:t>
      </w:r>
      <w:r>
        <w:t>.</w:t>
      </w:r>
      <w:r w:rsidR="0092478A">
        <w:t>6</w:t>
      </w:r>
      <w:r>
        <w:t xml:space="preserve">%) were </w:t>
      </w:r>
      <w:r w:rsidR="001D5F18">
        <w:t>charged with</w:t>
      </w:r>
      <w:r>
        <w:t xml:space="preserve"> </w:t>
      </w:r>
      <w:r w:rsidR="007249D3">
        <w:t>offence</w:t>
      </w:r>
      <w:r w:rsidR="001D5F18">
        <w:t>s against the public order, 2</w:t>
      </w:r>
      <w:r w:rsidR="0092478A">
        <w:t>0</w:t>
      </w:r>
      <w:r w:rsidR="001D5F18">
        <w:t>.9% were c</w:t>
      </w:r>
      <w:r w:rsidR="00E834C2">
        <w:t xml:space="preserve">harged with </w:t>
      </w:r>
      <w:r w:rsidR="007249D3">
        <w:t>offence</w:t>
      </w:r>
      <w:r w:rsidR="00E834C2">
        <w:t>s involving bodily harm, and 18.</w:t>
      </w:r>
      <w:r w:rsidR="0092478A">
        <w:t>2</w:t>
      </w:r>
      <w:r w:rsidR="00E834C2">
        <w:t xml:space="preserve">% were charged with property </w:t>
      </w:r>
      <w:r w:rsidR="007249D3">
        <w:t>offence</w:t>
      </w:r>
      <w:r w:rsidR="00E834C2">
        <w:t>s.</w:t>
      </w:r>
    </w:p>
    <w:p w:rsidR="00A234DA" w:rsidRDefault="00DB1FCD" w:rsidP="00AF5B98">
      <w:r>
        <w:t xml:space="preserve">The most prevalent </w:t>
      </w:r>
      <w:r w:rsidR="007249D3">
        <w:t>offence</w:t>
      </w:r>
      <w:r>
        <w:t xml:space="preserve">s with which </w:t>
      </w:r>
      <w:r w:rsidR="002B4F8F">
        <w:t xml:space="preserve">juveniles </w:t>
      </w:r>
      <w:r>
        <w:t xml:space="preserve">of Ethiopian origin who were judged were charged were property </w:t>
      </w:r>
      <w:r w:rsidR="007249D3">
        <w:t>offence</w:t>
      </w:r>
      <w:r>
        <w:t>s (</w:t>
      </w:r>
      <w:r w:rsidR="0092478A">
        <w:t>43</w:t>
      </w:r>
      <w:r>
        <w:t>.</w:t>
      </w:r>
      <w:r w:rsidR="0092478A">
        <w:t>5</w:t>
      </w:r>
      <w:r>
        <w:t xml:space="preserve">%), </w:t>
      </w:r>
      <w:r w:rsidR="00DC7CBA">
        <w:t>offences against the public order (25.0%)</w:t>
      </w:r>
      <w:r>
        <w:t xml:space="preserve">, and </w:t>
      </w:r>
      <w:r w:rsidR="00DC7CBA">
        <w:t>offences involving bodily harm (24.5%)</w:t>
      </w:r>
      <w:r>
        <w:t>.</w:t>
      </w:r>
    </w:p>
    <w:p w:rsidR="00E834C2" w:rsidRDefault="00A234DA" w:rsidP="00A234DA">
      <w:pPr>
        <w:spacing w:after="200" w:line="276" w:lineRule="auto"/>
      </w:pPr>
      <w:r>
        <w:br w:type="page"/>
      </w:r>
    </w:p>
    <w:p w:rsidR="00A524F8" w:rsidRPr="001C5590" w:rsidRDefault="00B872EC" w:rsidP="000F495A">
      <w:pPr>
        <w:pStyle w:val="Heading2"/>
      </w:pPr>
      <w:r w:rsidRPr="001C5590">
        <w:t>Data f</w:t>
      </w:r>
      <w:r w:rsidR="005B6FD2" w:rsidRPr="001C5590">
        <w:t>rom the 201</w:t>
      </w:r>
      <w:r w:rsidR="003E731B">
        <w:t>8</w:t>
      </w:r>
      <w:r w:rsidR="005B6FD2" w:rsidRPr="001C5590">
        <w:t xml:space="preserve"> Household Expenditure Survey</w:t>
      </w:r>
    </w:p>
    <w:p w:rsidR="007B76C9" w:rsidRDefault="00FA2B68" w:rsidP="00AF5B98">
      <w:r w:rsidRPr="007B76C9">
        <w:t xml:space="preserve">The </w:t>
      </w:r>
      <w:r w:rsidR="007B76C9">
        <w:t xml:space="preserve">average </w:t>
      </w:r>
      <w:r w:rsidR="007249D3">
        <w:t xml:space="preserve">consumption </w:t>
      </w:r>
      <w:r w:rsidR="007B76C9">
        <w:t xml:space="preserve">expenditure </w:t>
      </w:r>
      <w:r w:rsidRPr="0031203B">
        <w:t xml:space="preserve">per household among the </w:t>
      </w:r>
      <w:r w:rsidR="008A1EF4">
        <w:t>population of Ethiopian origin</w:t>
      </w:r>
      <w:r w:rsidR="000C0886">
        <w:rPr>
          <w:rStyle w:val="FootnoteReference"/>
        </w:rPr>
        <w:footnoteReference w:id="26"/>
      </w:r>
      <w:r w:rsidRPr="0031203B">
        <w:t xml:space="preserve"> was NIS </w:t>
      </w:r>
      <w:r w:rsidR="007B76C9">
        <w:t>1</w:t>
      </w:r>
      <w:r w:rsidR="001F44FA">
        <w:t>2</w:t>
      </w:r>
      <w:r w:rsidR="007B76C9">
        <w:t>,0</w:t>
      </w:r>
      <w:r w:rsidR="001F44FA">
        <w:t>84</w:t>
      </w:r>
      <w:r w:rsidRPr="0031203B">
        <w:t xml:space="preserve">, compared to NIS </w:t>
      </w:r>
      <w:r w:rsidR="007B76C9">
        <w:t>16,</w:t>
      </w:r>
      <w:r w:rsidR="001F44FA">
        <w:t>475</w:t>
      </w:r>
      <w:r w:rsidRPr="0031203B">
        <w:t xml:space="preserve"> in households in the </w:t>
      </w:r>
      <w:r w:rsidR="00DF49F3" w:rsidRPr="0031203B">
        <w:t>over</w:t>
      </w:r>
      <w:r w:rsidRPr="0031203B">
        <w:t>al</w:t>
      </w:r>
      <w:r w:rsidR="00DF49F3" w:rsidRPr="0031203B">
        <w:t>l</w:t>
      </w:r>
      <w:r w:rsidRPr="0031203B">
        <w:t xml:space="preserve"> population</w:t>
      </w:r>
      <w:r w:rsidR="007B76C9">
        <w:t xml:space="preserve"> </w:t>
      </w:r>
      <w:r w:rsidR="00893F82">
        <w:t>–</w:t>
      </w:r>
      <w:r w:rsidR="007B76C9">
        <w:t xml:space="preserve"> 2</w:t>
      </w:r>
      <w:r w:rsidR="001F44FA">
        <w:t>6</w:t>
      </w:r>
      <w:r w:rsidR="007B76C9">
        <w:t>.</w:t>
      </w:r>
      <w:r w:rsidR="001F44FA">
        <w:t>7</w:t>
      </w:r>
      <w:r w:rsidR="007B76C9">
        <w:t>% less than the average in the total population.</w:t>
      </w:r>
    </w:p>
    <w:p w:rsidR="00FA2B68" w:rsidRPr="0031203B" w:rsidRDefault="007B76C9" w:rsidP="00AF5B98">
      <w:r>
        <w:t>Net money income per household among persons of Ethiopian origin was NIS 1</w:t>
      </w:r>
      <w:r w:rsidR="001F44FA">
        <w:t>4</w:t>
      </w:r>
      <w:r>
        <w:t>,</w:t>
      </w:r>
      <w:r w:rsidR="001F44FA">
        <w:t>027</w:t>
      </w:r>
      <w:r>
        <w:t>, compared with NIS 1</w:t>
      </w:r>
      <w:r w:rsidR="001F44FA">
        <w:t>7</w:t>
      </w:r>
      <w:r>
        <w:t>,</w:t>
      </w:r>
      <w:r w:rsidR="001F44FA">
        <w:t>276</w:t>
      </w:r>
      <w:r w:rsidR="00A018B3">
        <w:t xml:space="preserve"> in all households in the </w:t>
      </w:r>
      <w:r w:rsidR="002B4F8F">
        <w:t>overall population</w:t>
      </w:r>
      <w:r>
        <w:t xml:space="preserve">, </w:t>
      </w:r>
      <w:r w:rsidR="00953DAE" w:rsidRPr="0031203B">
        <w:t>whereas</w:t>
      </w:r>
      <w:r w:rsidR="003A1E94" w:rsidRPr="0031203B">
        <w:t xml:space="preserve"> </w:t>
      </w:r>
      <w:r w:rsidR="00953DAE" w:rsidRPr="0031203B">
        <w:t>t</w:t>
      </w:r>
      <w:r w:rsidR="00FA2B68" w:rsidRPr="0031203B">
        <w:t>he</w:t>
      </w:r>
      <w:r w:rsidR="00FA2B68" w:rsidRPr="0031203B">
        <w:rPr>
          <w:b/>
          <w:bCs/>
        </w:rPr>
        <w:t xml:space="preserve"> </w:t>
      </w:r>
      <w:r w:rsidR="00FA2B68" w:rsidRPr="007B76C9">
        <w:t xml:space="preserve">money expenditure </w:t>
      </w:r>
      <w:r w:rsidR="00FA2B68" w:rsidRPr="0031203B">
        <w:t>per household w</w:t>
      </w:r>
      <w:r w:rsidR="003A1E94" w:rsidRPr="0031203B">
        <w:t>as</w:t>
      </w:r>
      <w:r w:rsidR="00FA2B68" w:rsidRPr="0031203B">
        <w:t xml:space="preserve"> NIS </w:t>
      </w:r>
      <w:r w:rsidR="001F44FA">
        <w:t>9</w:t>
      </w:r>
      <w:r w:rsidR="00A018B3">
        <w:t>,</w:t>
      </w:r>
      <w:r w:rsidR="001F44FA">
        <w:t>303</w:t>
      </w:r>
      <w:r w:rsidR="00FA2B68" w:rsidRPr="0031203B">
        <w:t xml:space="preserve">, compared to NIS </w:t>
      </w:r>
      <w:r w:rsidR="00A018B3">
        <w:t>13,</w:t>
      </w:r>
      <w:r w:rsidR="001F44FA">
        <w:t>32</w:t>
      </w:r>
      <w:r w:rsidR="00A018B3">
        <w:t>4</w:t>
      </w:r>
      <w:r w:rsidR="00FA2B68" w:rsidRPr="0031203B">
        <w:t xml:space="preserve"> in the </w:t>
      </w:r>
      <w:r w:rsidR="00DF49F3" w:rsidRPr="0031203B">
        <w:t>overall</w:t>
      </w:r>
      <w:r w:rsidR="003A1E94" w:rsidRPr="0031203B">
        <w:t xml:space="preserve"> </w:t>
      </w:r>
      <w:r w:rsidR="00FA2B68" w:rsidRPr="0031203B">
        <w:t>population.</w:t>
      </w:r>
    </w:p>
    <w:p w:rsidR="00F57AE3" w:rsidRDefault="00E068A8" w:rsidP="00AF5B98">
      <w:r w:rsidRPr="0031203B">
        <w:t xml:space="preserve">The </w:t>
      </w:r>
      <w:r w:rsidR="00953DAE" w:rsidRPr="0031203B">
        <w:t xml:space="preserve">average number of </w:t>
      </w:r>
      <w:r w:rsidR="00EB0A9E">
        <w:t xml:space="preserve">wage </w:t>
      </w:r>
      <w:r w:rsidRPr="0031203B">
        <w:t xml:space="preserve">earners per household was </w:t>
      </w:r>
      <w:r w:rsidR="001F44FA">
        <w:t>1.9</w:t>
      </w:r>
      <w:r w:rsidRPr="0031203B">
        <w:t>,</w:t>
      </w:r>
      <w:r w:rsidRPr="0031203B">
        <w:rPr>
          <w:rStyle w:val="FootnoteReference"/>
          <w:szCs w:val="24"/>
        </w:rPr>
        <w:footnoteReference w:id="27"/>
      </w:r>
      <w:r w:rsidRPr="0031203B">
        <w:t xml:space="preserve"> compared to </w:t>
      </w:r>
      <w:r w:rsidR="00953DAE" w:rsidRPr="0031203B">
        <w:t>1.</w:t>
      </w:r>
      <w:r w:rsidRPr="0031203B">
        <w:t xml:space="preserve">5 </w:t>
      </w:r>
      <w:r w:rsidR="00EB0A9E">
        <w:t xml:space="preserve">wage </w:t>
      </w:r>
      <w:r w:rsidR="00953DAE" w:rsidRPr="0031203B">
        <w:t xml:space="preserve">earners per household </w:t>
      </w:r>
      <w:r w:rsidRPr="0031203B">
        <w:t xml:space="preserve">in the </w:t>
      </w:r>
      <w:r w:rsidR="00DF49F3" w:rsidRPr="0031203B">
        <w:t>overall</w:t>
      </w:r>
      <w:r w:rsidRPr="0031203B">
        <w:t xml:space="preserve"> population.</w:t>
      </w:r>
    </w:p>
    <w:p w:rsidR="000D3A3C" w:rsidRPr="00AF5B98" w:rsidRDefault="000D3A3C" w:rsidP="00AF5B98">
      <w:pPr>
        <w:jc w:val="center"/>
        <w:rPr>
          <w:b/>
          <w:bCs/>
        </w:rPr>
      </w:pPr>
      <w:r w:rsidRPr="00AF5B98">
        <w:rPr>
          <w:b/>
          <w:bCs/>
        </w:rPr>
        <w:t xml:space="preserve">Table </w:t>
      </w:r>
      <w:r w:rsidR="00394B64" w:rsidRPr="00AF5B98">
        <w:rPr>
          <w:b/>
          <w:bCs/>
        </w:rPr>
        <w:t>E</w:t>
      </w:r>
      <w:r w:rsidR="00022D78" w:rsidRPr="00AF5B98">
        <w:rPr>
          <w:b/>
          <w:bCs/>
        </w:rPr>
        <w:t xml:space="preserve"> -</w:t>
      </w:r>
      <w:r w:rsidRPr="00AF5B98">
        <w:rPr>
          <w:b/>
          <w:bCs/>
        </w:rPr>
        <w:t xml:space="preserve"> </w:t>
      </w:r>
      <w:r w:rsidR="00394B64" w:rsidRPr="00AF5B98">
        <w:rPr>
          <w:b/>
          <w:bCs/>
          <w:lang w:val="en-GB"/>
        </w:rPr>
        <w:t xml:space="preserve">Net </w:t>
      </w:r>
      <w:r w:rsidR="00941CBA" w:rsidRPr="00AF5B98">
        <w:rPr>
          <w:b/>
          <w:bCs/>
          <w:lang w:val="en-GB"/>
        </w:rPr>
        <w:t>M</w:t>
      </w:r>
      <w:r w:rsidR="00394B64" w:rsidRPr="00AF5B98">
        <w:rPr>
          <w:b/>
          <w:bCs/>
          <w:lang w:val="en-GB"/>
        </w:rPr>
        <w:t xml:space="preserve">oney </w:t>
      </w:r>
      <w:r w:rsidR="00262153" w:rsidRPr="00AF5B98">
        <w:rPr>
          <w:b/>
          <w:bCs/>
          <w:lang w:val="en-GB"/>
        </w:rPr>
        <w:t>I</w:t>
      </w:r>
      <w:r w:rsidR="00394B64" w:rsidRPr="00AF5B98">
        <w:rPr>
          <w:b/>
          <w:bCs/>
          <w:lang w:val="en-GB"/>
        </w:rPr>
        <w:t xml:space="preserve">ncome and Money </w:t>
      </w:r>
      <w:r w:rsidR="00262153" w:rsidRPr="00AF5B98">
        <w:rPr>
          <w:b/>
          <w:bCs/>
          <w:lang w:val="en-GB"/>
        </w:rPr>
        <w:t>E</w:t>
      </w:r>
      <w:r w:rsidR="00394B64" w:rsidRPr="00AF5B98">
        <w:rPr>
          <w:b/>
          <w:bCs/>
          <w:lang w:val="en-GB"/>
        </w:rPr>
        <w:t>xpenditure</w:t>
      </w:r>
      <w:r w:rsidR="00AA2EE0" w:rsidRPr="00AF5B98">
        <w:rPr>
          <w:b/>
          <w:bCs/>
        </w:rPr>
        <w:t xml:space="preserve"> in Households in the </w:t>
      </w:r>
      <w:r w:rsidR="002B4F8F" w:rsidRPr="00AF5B98">
        <w:rPr>
          <w:b/>
          <w:bCs/>
        </w:rPr>
        <w:t xml:space="preserve">Overall </w:t>
      </w:r>
      <w:r w:rsidR="00AA2EE0" w:rsidRPr="00AF5B98">
        <w:rPr>
          <w:b/>
          <w:bCs/>
        </w:rPr>
        <w:t>Population and Households of Persons of Ethiopian Origin, 201</w:t>
      </w:r>
      <w:r w:rsidR="00394B64" w:rsidRPr="00AF5B98">
        <w:rPr>
          <w:b/>
          <w:bCs/>
        </w:rPr>
        <w:t>8</w:t>
      </w:r>
    </w:p>
    <w:tbl>
      <w:tblPr>
        <w:tblStyle w:val="TableGrid"/>
        <w:tblW w:w="0" w:type="auto"/>
        <w:jc w:val="center"/>
        <w:tblLook w:val="04A0" w:firstRow="1" w:lastRow="0" w:firstColumn="1" w:lastColumn="0" w:noHBand="0" w:noVBand="1"/>
        <w:tblCaption w:val="Table E - Net Money Income and Money Expenditure in Households in the Overall Population and Households of Persons of Ethiopian Origin, 2018"/>
        <w:tblDescription w:val="Table E - Net Money Income and Money Expenditure in Households in the Overall Population and Households of Persons of Ethiopian Origin, 2018"/>
      </w:tblPr>
      <w:tblGrid>
        <w:gridCol w:w="4460"/>
        <w:gridCol w:w="1958"/>
        <w:gridCol w:w="2011"/>
      </w:tblGrid>
      <w:tr w:rsidR="000E15DF" w:rsidTr="00AF5B98">
        <w:trPr>
          <w:trHeight w:val="285"/>
          <w:tblHeader/>
          <w:jc w:val="center"/>
        </w:trPr>
        <w:tc>
          <w:tcPr>
            <w:tcW w:w="4460" w:type="dxa"/>
            <w:tcBorders>
              <w:left w:val="nil"/>
              <w:bottom w:val="single" w:sz="4" w:space="0" w:color="auto"/>
            </w:tcBorders>
            <w:shd w:val="clear" w:color="auto" w:fill="D9D9D9" w:themeFill="background1" w:themeFillShade="D9"/>
          </w:tcPr>
          <w:p w:rsidR="000E15DF" w:rsidRPr="00AF5B98" w:rsidRDefault="00022D78" w:rsidP="00AF5B98">
            <w:pPr>
              <w:pStyle w:val="BodyText"/>
              <w:spacing w:before="80" w:after="80" w:line="240" w:lineRule="auto"/>
              <w:rPr>
                <w:b/>
                <w:bCs/>
                <w:sz w:val="24"/>
                <w:szCs w:val="24"/>
              </w:rPr>
            </w:pPr>
            <w:r w:rsidRPr="00AF5B98">
              <w:rPr>
                <w:b/>
                <w:bCs/>
                <w:sz w:val="24"/>
                <w:szCs w:val="24"/>
                <w:lang w:val="en-GB"/>
              </w:rPr>
              <w:t>Money Income and Money Expenditure</w:t>
            </w:r>
            <w:r w:rsidRPr="00AF5B98">
              <w:rPr>
                <w:b/>
                <w:bCs/>
                <w:sz w:val="24"/>
                <w:szCs w:val="24"/>
              </w:rPr>
              <w:t xml:space="preserve"> in Households</w:t>
            </w:r>
          </w:p>
        </w:tc>
        <w:tc>
          <w:tcPr>
            <w:tcW w:w="1958" w:type="dxa"/>
            <w:tcBorders>
              <w:bottom w:val="single" w:sz="4" w:space="0" w:color="auto"/>
              <w:right w:val="nil"/>
            </w:tcBorders>
            <w:shd w:val="clear" w:color="auto" w:fill="D9D9D9" w:themeFill="background1" w:themeFillShade="D9"/>
          </w:tcPr>
          <w:p w:rsidR="000E15DF" w:rsidRPr="00AF5B98" w:rsidRDefault="00022D78" w:rsidP="00AF5B98">
            <w:pPr>
              <w:pStyle w:val="BodyText"/>
              <w:spacing w:before="80" w:after="80" w:line="240" w:lineRule="auto"/>
              <w:rPr>
                <w:b/>
                <w:bCs/>
                <w:spacing w:val="-4"/>
                <w:sz w:val="24"/>
                <w:szCs w:val="24"/>
              </w:rPr>
            </w:pPr>
            <w:r w:rsidRPr="00AF5B98">
              <w:rPr>
                <w:b/>
                <w:bCs/>
                <w:spacing w:val="-4"/>
                <w:sz w:val="24"/>
                <w:szCs w:val="24"/>
              </w:rPr>
              <w:t xml:space="preserve">Households </w:t>
            </w:r>
            <w:r w:rsidR="000E15DF" w:rsidRPr="00AF5B98">
              <w:rPr>
                <w:b/>
                <w:bCs/>
                <w:spacing w:val="-4"/>
                <w:sz w:val="24"/>
                <w:szCs w:val="24"/>
              </w:rPr>
              <w:t xml:space="preserve">in </w:t>
            </w:r>
            <w:r w:rsidRPr="00AF5B98">
              <w:rPr>
                <w:b/>
                <w:bCs/>
                <w:spacing w:val="-4"/>
                <w:sz w:val="24"/>
                <w:szCs w:val="24"/>
              </w:rPr>
              <w:t xml:space="preserve">the overall </w:t>
            </w:r>
            <w:r w:rsidR="000E15DF" w:rsidRPr="00AF5B98">
              <w:rPr>
                <w:b/>
                <w:bCs/>
                <w:spacing w:val="-4"/>
                <w:sz w:val="24"/>
                <w:szCs w:val="24"/>
              </w:rPr>
              <w:t>population</w:t>
            </w:r>
          </w:p>
        </w:tc>
        <w:tc>
          <w:tcPr>
            <w:tcW w:w="2011" w:type="dxa"/>
            <w:tcBorders>
              <w:bottom w:val="single" w:sz="4" w:space="0" w:color="auto"/>
              <w:right w:val="nil"/>
            </w:tcBorders>
            <w:shd w:val="clear" w:color="auto" w:fill="D9D9D9" w:themeFill="background1" w:themeFillShade="D9"/>
          </w:tcPr>
          <w:p w:rsidR="000E15DF" w:rsidRPr="00AF5B98" w:rsidRDefault="000E15DF" w:rsidP="00AF5B98">
            <w:pPr>
              <w:pStyle w:val="BodyText"/>
              <w:spacing w:before="80" w:after="80" w:line="240" w:lineRule="auto"/>
              <w:rPr>
                <w:b/>
                <w:bCs/>
                <w:sz w:val="24"/>
                <w:szCs w:val="24"/>
              </w:rPr>
            </w:pPr>
            <w:r w:rsidRPr="00AF5B98">
              <w:rPr>
                <w:b/>
                <w:bCs/>
                <w:sz w:val="24"/>
                <w:szCs w:val="24"/>
              </w:rPr>
              <w:t>Households of persons of Ethiopian origin</w:t>
            </w:r>
          </w:p>
        </w:tc>
      </w:tr>
      <w:tr w:rsidR="000E15DF" w:rsidTr="00D25900">
        <w:trPr>
          <w:jc w:val="center"/>
        </w:trPr>
        <w:tc>
          <w:tcPr>
            <w:tcW w:w="4460" w:type="dxa"/>
            <w:tcBorders>
              <w:top w:val="nil"/>
              <w:left w:val="nil"/>
              <w:bottom w:val="single" w:sz="4" w:space="0" w:color="auto"/>
            </w:tcBorders>
            <w:vAlign w:val="center"/>
          </w:tcPr>
          <w:p w:rsidR="000E15DF" w:rsidRDefault="000E15DF" w:rsidP="00AF5B98">
            <w:r>
              <w:t>Average number of wage-earners</w:t>
            </w:r>
          </w:p>
        </w:tc>
        <w:tc>
          <w:tcPr>
            <w:tcW w:w="1958" w:type="dxa"/>
            <w:tcBorders>
              <w:top w:val="nil"/>
              <w:bottom w:val="single" w:sz="4" w:space="0" w:color="auto"/>
              <w:right w:val="nil"/>
            </w:tcBorders>
            <w:vAlign w:val="center"/>
          </w:tcPr>
          <w:p w:rsidR="000E15DF" w:rsidRDefault="000E15DF" w:rsidP="00C82363">
            <w:pPr>
              <w:jc w:val="center"/>
            </w:pPr>
            <w:r w:rsidRPr="00EB1DF4">
              <w:rPr>
                <w:rtl/>
              </w:rPr>
              <w:t>1.5</w:t>
            </w:r>
          </w:p>
        </w:tc>
        <w:tc>
          <w:tcPr>
            <w:tcW w:w="2011" w:type="dxa"/>
            <w:tcBorders>
              <w:top w:val="nil"/>
              <w:bottom w:val="single" w:sz="4" w:space="0" w:color="auto"/>
              <w:right w:val="nil"/>
            </w:tcBorders>
            <w:vAlign w:val="center"/>
          </w:tcPr>
          <w:p w:rsidR="000E15DF" w:rsidRDefault="000E15DF" w:rsidP="00C82363">
            <w:pPr>
              <w:jc w:val="center"/>
            </w:pPr>
            <w:r>
              <w:rPr>
                <w:rFonts w:hint="cs"/>
                <w:rtl/>
              </w:rPr>
              <w:t>1.9</w:t>
            </w:r>
          </w:p>
        </w:tc>
      </w:tr>
      <w:tr w:rsidR="000E15DF" w:rsidTr="00D25900">
        <w:trPr>
          <w:jc w:val="center"/>
        </w:trPr>
        <w:tc>
          <w:tcPr>
            <w:tcW w:w="4460" w:type="dxa"/>
            <w:tcBorders>
              <w:left w:val="nil"/>
              <w:bottom w:val="nil"/>
            </w:tcBorders>
            <w:vAlign w:val="center"/>
          </w:tcPr>
          <w:p w:rsidR="000E15DF" w:rsidRPr="00BF6AB6" w:rsidRDefault="000E15DF" w:rsidP="00AF5B98">
            <w:pPr>
              <w:rPr>
                <w:color w:val="FFFFFF" w:themeColor="background1"/>
              </w:rPr>
            </w:pPr>
            <w:r w:rsidRPr="00BF6AB6">
              <w:rPr>
                <w:color w:val="FFFFFF" w:themeColor="background1"/>
              </w:rPr>
              <w:t>-</w:t>
            </w:r>
          </w:p>
        </w:tc>
        <w:tc>
          <w:tcPr>
            <w:tcW w:w="1958" w:type="dxa"/>
            <w:tcBorders>
              <w:bottom w:val="nil"/>
              <w:right w:val="single" w:sz="4" w:space="0" w:color="auto"/>
            </w:tcBorders>
            <w:vAlign w:val="center"/>
          </w:tcPr>
          <w:p w:rsidR="000E15DF" w:rsidRPr="00BF6AB6" w:rsidRDefault="000E15DF" w:rsidP="00C82363">
            <w:pPr>
              <w:jc w:val="center"/>
              <w:rPr>
                <w:color w:val="FFFFFF" w:themeColor="background1"/>
              </w:rPr>
            </w:pPr>
            <w:r>
              <w:t>NIS</w:t>
            </w:r>
          </w:p>
        </w:tc>
        <w:tc>
          <w:tcPr>
            <w:tcW w:w="2011" w:type="dxa"/>
            <w:tcBorders>
              <w:left w:val="single" w:sz="4" w:space="0" w:color="auto"/>
              <w:bottom w:val="nil"/>
              <w:right w:val="nil"/>
            </w:tcBorders>
            <w:vAlign w:val="center"/>
          </w:tcPr>
          <w:p w:rsidR="000E15DF" w:rsidRPr="00BF6AB6" w:rsidRDefault="000E15DF" w:rsidP="00C82363">
            <w:pPr>
              <w:jc w:val="center"/>
              <w:rPr>
                <w:color w:val="FFFFFF" w:themeColor="background1"/>
              </w:rPr>
            </w:pPr>
            <w:r>
              <w:t>NIS</w:t>
            </w:r>
          </w:p>
        </w:tc>
      </w:tr>
      <w:tr w:rsidR="000E15DF" w:rsidTr="00D25900">
        <w:trPr>
          <w:jc w:val="center"/>
        </w:trPr>
        <w:tc>
          <w:tcPr>
            <w:tcW w:w="4460" w:type="dxa"/>
            <w:tcBorders>
              <w:top w:val="nil"/>
              <w:left w:val="nil"/>
              <w:bottom w:val="nil"/>
            </w:tcBorders>
            <w:vAlign w:val="center"/>
          </w:tcPr>
          <w:p w:rsidR="000E15DF" w:rsidRDefault="000E15DF" w:rsidP="00AF5B98">
            <w:r>
              <w:t>Gross money income per households</w:t>
            </w:r>
          </w:p>
        </w:tc>
        <w:tc>
          <w:tcPr>
            <w:tcW w:w="1958" w:type="dxa"/>
            <w:tcBorders>
              <w:top w:val="nil"/>
              <w:bottom w:val="nil"/>
              <w:right w:val="nil"/>
            </w:tcBorders>
            <w:vAlign w:val="center"/>
          </w:tcPr>
          <w:p w:rsidR="000E15DF" w:rsidRDefault="000E15DF" w:rsidP="00C82363">
            <w:pPr>
              <w:jc w:val="center"/>
            </w:pPr>
            <w:r w:rsidRPr="00D2338A">
              <w:rPr>
                <w:rFonts w:asciiTheme="minorBidi" w:hAnsiTheme="minorBidi" w:cstheme="minorBidi"/>
                <w:rtl/>
              </w:rPr>
              <w:t>21,063</w:t>
            </w:r>
          </w:p>
        </w:tc>
        <w:tc>
          <w:tcPr>
            <w:tcW w:w="2011" w:type="dxa"/>
            <w:tcBorders>
              <w:top w:val="nil"/>
              <w:bottom w:val="nil"/>
              <w:right w:val="nil"/>
            </w:tcBorders>
            <w:vAlign w:val="center"/>
          </w:tcPr>
          <w:p w:rsidR="000E15DF" w:rsidRPr="0050757B" w:rsidRDefault="000E15DF" w:rsidP="00C82363">
            <w:pPr>
              <w:jc w:val="center"/>
              <w:rPr>
                <w:color w:val="FFFFFF" w:themeColor="background1"/>
              </w:rPr>
            </w:pPr>
            <w:r w:rsidRPr="00D2338A">
              <w:rPr>
                <w:rFonts w:asciiTheme="minorBidi" w:hAnsiTheme="minorBidi" w:cstheme="minorBidi"/>
                <w:rtl/>
              </w:rPr>
              <w:t>15,604</w:t>
            </w:r>
          </w:p>
        </w:tc>
      </w:tr>
      <w:tr w:rsidR="000E15DF" w:rsidTr="00D25900">
        <w:trPr>
          <w:jc w:val="center"/>
        </w:trPr>
        <w:tc>
          <w:tcPr>
            <w:tcW w:w="4460" w:type="dxa"/>
            <w:tcBorders>
              <w:top w:val="nil"/>
              <w:left w:val="nil"/>
              <w:bottom w:val="nil"/>
            </w:tcBorders>
            <w:vAlign w:val="center"/>
          </w:tcPr>
          <w:p w:rsidR="000E15DF" w:rsidRPr="00BF6AB6" w:rsidRDefault="000E15DF" w:rsidP="00AF5B98">
            <w:pPr>
              <w:rPr>
                <w:lang w:val="en-GB"/>
              </w:rPr>
            </w:pPr>
            <w:r>
              <w:rPr>
                <w:lang w:val="en-GB"/>
              </w:rPr>
              <w:t>Net money income per household</w:t>
            </w:r>
          </w:p>
        </w:tc>
        <w:tc>
          <w:tcPr>
            <w:tcW w:w="1958" w:type="dxa"/>
            <w:tcBorders>
              <w:top w:val="nil"/>
              <w:bottom w:val="nil"/>
            </w:tcBorders>
            <w:vAlign w:val="center"/>
          </w:tcPr>
          <w:p w:rsidR="000E15DF" w:rsidRDefault="000E15DF" w:rsidP="00C82363">
            <w:pPr>
              <w:jc w:val="center"/>
            </w:pPr>
            <w:r w:rsidRPr="00D2338A">
              <w:rPr>
                <w:rFonts w:asciiTheme="minorBidi" w:hAnsiTheme="minorBidi" w:cstheme="minorBidi"/>
                <w:rtl/>
              </w:rPr>
              <w:t>17,276</w:t>
            </w:r>
          </w:p>
        </w:tc>
        <w:tc>
          <w:tcPr>
            <w:tcW w:w="2011" w:type="dxa"/>
            <w:tcBorders>
              <w:top w:val="nil"/>
              <w:bottom w:val="nil"/>
              <w:right w:val="nil"/>
            </w:tcBorders>
            <w:vAlign w:val="center"/>
          </w:tcPr>
          <w:p w:rsidR="000E15DF" w:rsidRPr="0050757B" w:rsidRDefault="000E15DF" w:rsidP="00C82363">
            <w:pPr>
              <w:jc w:val="center"/>
              <w:rPr>
                <w:color w:val="FFFFFF" w:themeColor="background1"/>
              </w:rPr>
            </w:pPr>
            <w:r w:rsidRPr="00D2338A">
              <w:rPr>
                <w:rFonts w:asciiTheme="minorBidi" w:hAnsiTheme="minorBidi" w:cstheme="minorBidi"/>
                <w:rtl/>
              </w:rPr>
              <w:t>14,027</w:t>
            </w:r>
          </w:p>
        </w:tc>
      </w:tr>
      <w:tr w:rsidR="000E15DF" w:rsidTr="00D25900">
        <w:trPr>
          <w:jc w:val="center"/>
        </w:trPr>
        <w:tc>
          <w:tcPr>
            <w:tcW w:w="4460" w:type="dxa"/>
            <w:tcBorders>
              <w:top w:val="nil"/>
              <w:left w:val="nil"/>
            </w:tcBorders>
            <w:vAlign w:val="center"/>
          </w:tcPr>
          <w:p w:rsidR="000E15DF" w:rsidRDefault="000E15DF" w:rsidP="00AF5B98">
            <w:pPr>
              <w:rPr>
                <w:lang w:val="en-GB"/>
              </w:rPr>
            </w:pPr>
            <w:r>
              <w:rPr>
                <w:lang w:val="en-GB"/>
              </w:rPr>
              <w:t>Money expenditure per household</w:t>
            </w:r>
          </w:p>
        </w:tc>
        <w:tc>
          <w:tcPr>
            <w:tcW w:w="1958" w:type="dxa"/>
            <w:tcBorders>
              <w:top w:val="nil"/>
            </w:tcBorders>
            <w:vAlign w:val="center"/>
          </w:tcPr>
          <w:p w:rsidR="000E15DF" w:rsidRDefault="000E15DF" w:rsidP="00C82363">
            <w:pPr>
              <w:jc w:val="center"/>
            </w:pPr>
            <w:r w:rsidRPr="00D2338A">
              <w:rPr>
                <w:rFonts w:asciiTheme="minorBidi" w:hAnsiTheme="minorBidi" w:cstheme="minorBidi"/>
                <w:rtl/>
              </w:rPr>
              <w:t>13,324</w:t>
            </w:r>
          </w:p>
        </w:tc>
        <w:tc>
          <w:tcPr>
            <w:tcW w:w="2011" w:type="dxa"/>
            <w:tcBorders>
              <w:top w:val="nil"/>
              <w:right w:val="nil"/>
            </w:tcBorders>
            <w:vAlign w:val="center"/>
          </w:tcPr>
          <w:p w:rsidR="000E15DF" w:rsidRPr="0050757B" w:rsidRDefault="000E15DF" w:rsidP="00C82363">
            <w:pPr>
              <w:jc w:val="center"/>
              <w:rPr>
                <w:color w:val="FFFFFF" w:themeColor="background1"/>
              </w:rPr>
            </w:pPr>
            <w:r w:rsidRPr="00D2338A">
              <w:rPr>
                <w:rFonts w:asciiTheme="minorBidi" w:hAnsiTheme="minorBidi" w:cstheme="minorBidi"/>
                <w:rtl/>
              </w:rPr>
              <w:t>9,303</w:t>
            </w:r>
          </w:p>
        </w:tc>
      </w:tr>
    </w:tbl>
    <w:p w:rsidR="00DA19A5" w:rsidRDefault="00DA19A5" w:rsidP="008E0AD9">
      <w:pPr>
        <w:pStyle w:val="text1"/>
      </w:pPr>
      <w:r>
        <w:br w:type="page"/>
      </w:r>
    </w:p>
    <w:p w:rsidR="00394B64" w:rsidRPr="00AF5B98" w:rsidRDefault="00394B64" w:rsidP="00AF5B98">
      <w:pPr>
        <w:jc w:val="center"/>
        <w:rPr>
          <w:b/>
          <w:bCs/>
        </w:rPr>
      </w:pPr>
      <w:r w:rsidRPr="00AF5B98">
        <w:rPr>
          <w:b/>
          <w:bCs/>
        </w:rPr>
        <w:t>Table F</w:t>
      </w:r>
      <w:r w:rsidR="001C7D67" w:rsidRPr="00AF5B98">
        <w:rPr>
          <w:b/>
          <w:bCs/>
        </w:rPr>
        <w:t xml:space="preserve"> -</w:t>
      </w:r>
      <w:r w:rsidRPr="00AF5B98">
        <w:rPr>
          <w:b/>
          <w:bCs/>
        </w:rPr>
        <w:t xml:space="preserve"> Monthly Consumption Expenditure by Main Groups, in Households in the Overall Population and Households of Persons of Ethiopian Origin, 2018</w:t>
      </w:r>
    </w:p>
    <w:tbl>
      <w:tblPr>
        <w:tblStyle w:val="TableGrid"/>
        <w:tblW w:w="0" w:type="auto"/>
        <w:jc w:val="center"/>
        <w:tblLook w:val="04A0" w:firstRow="1" w:lastRow="0" w:firstColumn="1" w:lastColumn="0" w:noHBand="0" w:noVBand="1"/>
        <w:tblCaption w:val="Table F - Monthly Consumption Expenditure by Main Groups, in Households in the Overall Population and Households of Persons of Ethiopian Origin, 2018"/>
        <w:tblDescription w:val="Table F - Monthly Consumption Expenditure by Main Groups, in Households in the Overall Population and Households of Persons of Ethiopian Origin, 2018"/>
      </w:tblPr>
      <w:tblGrid>
        <w:gridCol w:w="3038"/>
        <w:gridCol w:w="1763"/>
        <w:gridCol w:w="1641"/>
        <w:gridCol w:w="1763"/>
        <w:gridCol w:w="1641"/>
      </w:tblGrid>
      <w:tr w:rsidR="00394B64" w:rsidTr="00D25900">
        <w:trPr>
          <w:tblHeader/>
          <w:jc w:val="center"/>
        </w:trPr>
        <w:tc>
          <w:tcPr>
            <w:tcW w:w="4206" w:type="dxa"/>
            <w:tcBorders>
              <w:left w:val="nil"/>
              <w:bottom w:val="single" w:sz="4" w:space="0" w:color="auto"/>
            </w:tcBorders>
            <w:shd w:val="clear" w:color="auto" w:fill="D9D9D9" w:themeFill="background1" w:themeFillShade="D9"/>
            <w:vAlign w:val="bottom"/>
          </w:tcPr>
          <w:p w:rsidR="00394B64" w:rsidRPr="00AF5B98" w:rsidRDefault="005A7F65" w:rsidP="00AF5B98">
            <w:pPr>
              <w:spacing w:before="120" w:line="240" w:lineRule="auto"/>
              <w:rPr>
                <w:b/>
                <w:bCs/>
              </w:rPr>
            </w:pPr>
            <w:r w:rsidRPr="00AF5B98">
              <w:rPr>
                <w:b/>
                <w:bCs/>
              </w:rPr>
              <w:t>Makeup of Consumption Expenditure</w:t>
            </w:r>
          </w:p>
        </w:tc>
        <w:tc>
          <w:tcPr>
            <w:tcW w:w="1701" w:type="dxa"/>
            <w:tcBorders>
              <w:bottom w:val="single" w:sz="4" w:space="0" w:color="auto"/>
            </w:tcBorders>
            <w:shd w:val="clear" w:color="auto" w:fill="D9D9D9" w:themeFill="background1" w:themeFillShade="D9"/>
            <w:vAlign w:val="bottom"/>
          </w:tcPr>
          <w:p w:rsidR="00394B64" w:rsidRPr="00AF5B98" w:rsidRDefault="00394B64" w:rsidP="00AF5B98">
            <w:pPr>
              <w:spacing w:before="120" w:line="240" w:lineRule="auto"/>
              <w:rPr>
                <w:b/>
                <w:bCs/>
              </w:rPr>
            </w:pPr>
            <w:r w:rsidRPr="00AF5B98">
              <w:rPr>
                <w:b/>
                <w:bCs/>
              </w:rPr>
              <w:t>Consumption expenditure in NIS</w:t>
            </w:r>
            <w:r w:rsidR="000F5BBD" w:rsidRPr="00AF5B98">
              <w:rPr>
                <w:b/>
                <w:bCs/>
                <w:spacing w:val="-4"/>
              </w:rPr>
              <w:t xml:space="preserve"> </w:t>
            </w:r>
            <w:r w:rsidR="001C7D67" w:rsidRPr="00AF5B98">
              <w:rPr>
                <w:b/>
                <w:bCs/>
                <w:spacing w:val="-4"/>
              </w:rPr>
              <w:t>households in the overall population</w:t>
            </w:r>
          </w:p>
        </w:tc>
        <w:tc>
          <w:tcPr>
            <w:tcW w:w="1701" w:type="dxa"/>
            <w:tcBorders>
              <w:bottom w:val="single" w:sz="4" w:space="0" w:color="auto"/>
            </w:tcBorders>
            <w:shd w:val="clear" w:color="auto" w:fill="D9D9D9" w:themeFill="background1" w:themeFillShade="D9"/>
            <w:vAlign w:val="bottom"/>
          </w:tcPr>
          <w:p w:rsidR="00394B64" w:rsidRPr="00AF5B98" w:rsidRDefault="00394B64" w:rsidP="00AF5B98">
            <w:pPr>
              <w:spacing w:before="120" w:line="240" w:lineRule="auto"/>
              <w:rPr>
                <w:b/>
                <w:bCs/>
                <w:spacing w:val="-4"/>
              </w:rPr>
            </w:pPr>
            <w:r w:rsidRPr="00AF5B98">
              <w:rPr>
                <w:b/>
                <w:bCs/>
                <w:spacing w:val="-4"/>
              </w:rPr>
              <w:t>Makeup of expenditure in percentages</w:t>
            </w:r>
            <w:r w:rsidR="000F5BBD" w:rsidRPr="00AF5B98">
              <w:rPr>
                <w:b/>
                <w:bCs/>
                <w:spacing w:val="-4"/>
              </w:rPr>
              <w:t xml:space="preserve"> in </w:t>
            </w:r>
            <w:r w:rsidR="001C7D67" w:rsidRPr="00AF5B98">
              <w:rPr>
                <w:b/>
                <w:bCs/>
                <w:spacing w:val="-4"/>
              </w:rPr>
              <w:t>households in the overall population</w:t>
            </w:r>
          </w:p>
        </w:tc>
        <w:tc>
          <w:tcPr>
            <w:tcW w:w="1701" w:type="dxa"/>
            <w:tcBorders>
              <w:bottom w:val="single" w:sz="4" w:space="0" w:color="auto"/>
            </w:tcBorders>
            <w:shd w:val="clear" w:color="auto" w:fill="D9D9D9" w:themeFill="background1" w:themeFillShade="D9"/>
            <w:vAlign w:val="bottom"/>
          </w:tcPr>
          <w:p w:rsidR="00394B64" w:rsidRPr="00AF5B98" w:rsidRDefault="00394B64" w:rsidP="00AF5B98">
            <w:pPr>
              <w:spacing w:before="120" w:line="240" w:lineRule="auto"/>
              <w:rPr>
                <w:b/>
                <w:bCs/>
              </w:rPr>
            </w:pPr>
            <w:r w:rsidRPr="00AF5B98">
              <w:rPr>
                <w:b/>
                <w:bCs/>
              </w:rPr>
              <w:t>Consumption expenditure in NIS</w:t>
            </w:r>
            <w:r w:rsidR="000F5BBD" w:rsidRPr="00AF5B98">
              <w:rPr>
                <w:b/>
                <w:bCs/>
              </w:rPr>
              <w:t xml:space="preserve"> in households of persons of Ethiopian origin</w:t>
            </w:r>
          </w:p>
        </w:tc>
        <w:tc>
          <w:tcPr>
            <w:tcW w:w="1701" w:type="dxa"/>
            <w:tcBorders>
              <w:bottom w:val="single" w:sz="4" w:space="0" w:color="auto"/>
              <w:right w:val="nil"/>
            </w:tcBorders>
            <w:shd w:val="clear" w:color="auto" w:fill="D9D9D9" w:themeFill="background1" w:themeFillShade="D9"/>
            <w:vAlign w:val="bottom"/>
          </w:tcPr>
          <w:p w:rsidR="00394B64" w:rsidRPr="00AF5B98" w:rsidRDefault="00394B64" w:rsidP="00AF5B98">
            <w:pPr>
              <w:spacing w:before="120" w:line="240" w:lineRule="auto"/>
              <w:rPr>
                <w:b/>
                <w:bCs/>
                <w:spacing w:val="-4"/>
              </w:rPr>
            </w:pPr>
            <w:r w:rsidRPr="00AF5B98">
              <w:rPr>
                <w:b/>
                <w:bCs/>
                <w:spacing w:val="-4"/>
              </w:rPr>
              <w:t>Makeup of expenditure in percentages</w:t>
            </w:r>
            <w:r w:rsidR="000F5BBD" w:rsidRPr="00AF5B98">
              <w:rPr>
                <w:b/>
                <w:bCs/>
                <w:spacing w:val="-4"/>
              </w:rPr>
              <w:t xml:space="preserve"> </w:t>
            </w:r>
            <w:r w:rsidR="000F5BBD" w:rsidRPr="00AF5B98">
              <w:rPr>
                <w:b/>
                <w:bCs/>
              </w:rPr>
              <w:t>in households of persons of Ethiopian origin</w:t>
            </w:r>
          </w:p>
        </w:tc>
      </w:tr>
      <w:tr w:rsidR="000F5BBD" w:rsidTr="00BD0778">
        <w:trPr>
          <w:jc w:val="center"/>
        </w:trPr>
        <w:tc>
          <w:tcPr>
            <w:tcW w:w="4206" w:type="dxa"/>
            <w:tcBorders>
              <w:left w:val="nil"/>
              <w:bottom w:val="nil"/>
            </w:tcBorders>
            <w:vAlign w:val="center"/>
          </w:tcPr>
          <w:p w:rsidR="000F5BBD" w:rsidRPr="00AF5B98" w:rsidRDefault="000F5BBD" w:rsidP="00AF5B98">
            <w:pPr>
              <w:spacing w:before="120" w:line="240" w:lineRule="auto"/>
            </w:pPr>
            <w:r w:rsidRPr="00AF5B98">
              <w:t>Consumption expenditure – total</w:t>
            </w:r>
          </w:p>
        </w:tc>
        <w:tc>
          <w:tcPr>
            <w:tcW w:w="1701" w:type="dxa"/>
            <w:tcBorders>
              <w:bottom w:val="nil"/>
            </w:tcBorders>
            <w:vAlign w:val="center"/>
          </w:tcPr>
          <w:p w:rsidR="000F5BBD" w:rsidRPr="00AF5B98" w:rsidRDefault="000F5BBD" w:rsidP="00C82363">
            <w:pPr>
              <w:spacing w:before="120" w:line="240" w:lineRule="auto"/>
              <w:jc w:val="center"/>
              <w:rPr>
                <w:b/>
                <w:bCs/>
              </w:rPr>
            </w:pPr>
            <w:r w:rsidRPr="00AF5B98">
              <w:rPr>
                <w:b/>
                <w:bCs/>
                <w:color w:val="000000"/>
              </w:rPr>
              <w:t>16,475</w:t>
            </w:r>
          </w:p>
        </w:tc>
        <w:tc>
          <w:tcPr>
            <w:tcW w:w="1701" w:type="dxa"/>
            <w:tcBorders>
              <w:bottom w:val="nil"/>
            </w:tcBorders>
            <w:vAlign w:val="center"/>
          </w:tcPr>
          <w:p w:rsidR="000F5BBD" w:rsidRPr="00AF5B98" w:rsidRDefault="000F5BBD" w:rsidP="00C82363">
            <w:pPr>
              <w:spacing w:before="120" w:line="240" w:lineRule="auto"/>
              <w:jc w:val="center"/>
              <w:rPr>
                <w:b/>
                <w:bCs/>
              </w:rPr>
            </w:pPr>
            <w:r w:rsidRPr="00AF5B98">
              <w:rPr>
                <w:b/>
                <w:bCs/>
                <w:color w:val="000000"/>
              </w:rPr>
              <w:t>100.0</w:t>
            </w:r>
          </w:p>
        </w:tc>
        <w:tc>
          <w:tcPr>
            <w:tcW w:w="1701" w:type="dxa"/>
            <w:tcBorders>
              <w:bottom w:val="nil"/>
            </w:tcBorders>
            <w:vAlign w:val="center"/>
          </w:tcPr>
          <w:p w:rsidR="000F5BBD" w:rsidRPr="00AF5B98" w:rsidRDefault="000F5BBD" w:rsidP="00C82363">
            <w:pPr>
              <w:spacing w:before="120" w:line="240" w:lineRule="auto"/>
              <w:jc w:val="center"/>
              <w:rPr>
                <w:b/>
                <w:bCs/>
              </w:rPr>
            </w:pPr>
            <w:r w:rsidRPr="00AF5B98">
              <w:rPr>
                <w:b/>
                <w:bCs/>
                <w:color w:val="000000"/>
              </w:rPr>
              <w:t>12,084</w:t>
            </w:r>
          </w:p>
        </w:tc>
        <w:tc>
          <w:tcPr>
            <w:tcW w:w="1701" w:type="dxa"/>
            <w:tcBorders>
              <w:bottom w:val="nil"/>
              <w:right w:val="nil"/>
            </w:tcBorders>
            <w:vAlign w:val="center"/>
          </w:tcPr>
          <w:p w:rsidR="000F5BBD" w:rsidRPr="00AF5B98" w:rsidRDefault="000F5BBD" w:rsidP="00C82363">
            <w:pPr>
              <w:spacing w:before="120" w:line="240" w:lineRule="auto"/>
              <w:jc w:val="center"/>
              <w:rPr>
                <w:b/>
                <w:bCs/>
              </w:rPr>
            </w:pPr>
            <w:r w:rsidRPr="00AF5B98">
              <w:rPr>
                <w:b/>
                <w:bCs/>
                <w:color w:val="000000"/>
              </w:rPr>
              <w:t>100.0</w:t>
            </w:r>
          </w:p>
        </w:tc>
      </w:tr>
      <w:tr w:rsidR="000F5BBD" w:rsidTr="00BD0778">
        <w:trPr>
          <w:jc w:val="center"/>
        </w:trPr>
        <w:tc>
          <w:tcPr>
            <w:tcW w:w="4206" w:type="dxa"/>
            <w:tcBorders>
              <w:top w:val="nil"/>
              <w:left w:val="nil"/>
              <w:bottom w:val="nil"/>
            </w:tcBorders>
            <w:vAlign w:val="center"/>
          </w:tcPr>
          <w:p w:rsidR="000F5BBD" w:rsidRPr="00AF5B98" w:rsidRDefault="000F5BBD" w:rsidP="00AF5B98">
            <w:pPr>
              <w:spacing w:before="120" w:line="240" w:lineRule="auto"/>
            </w:pPr>
            <w:r w:rsidRPr="00AF5B98">
              <w:t>Food (excl. vegetables and fruits)</w:t>
            </w:r>
          </w:p>
        </w:tc>
        <w:tc>
          <w:tcPr>
            <w:tcW w:w="1701" w:type="dxa"/>
            <w:tcBorders>
              <w:top w:val="nil"/>
              <w:bottom w:val="nil"/>
            </w:tcBorders>
            <w:vAlign w:val="center"/>
          </w:tcPr>
          <w:p w:rsidR="000F5BBD" w:rsidRPr="00AF5B98" w:rsidRDefault="000F5BBD" w:rsidP="00C82363">
            <w:pPr>
              <w:spacing w:before="120" w:line="240" w:lineRule="auto"/>
              <w:jc w:val="center"/>
            </w:pPr>
            <w:r w:rsidRPr="00AF5B98">
              <w:rPr>
                <w:color w:val="000000"/>
              </w:rPr>
              <w:t>2,282</w:t>
            </w:r>
          </w:p>
        </w:tc>
        <w:tc>
          <w:tcPr>
            <w:tcW w:w="1701" w:type="dxa"/>
            <w:tcBorders>
              <w:top w:val="nil"/>
              <w:bottom w:val="nil"/>
            </w:tcBorders>
            <w:vAlign w:val="center"/>
          </w:tcPr>
          <w:p w:rsidR="000F5BBD" w:rsidRPr="00AF5B98" w:rsidRDefault="000F5BBD" w:rsidP="00C82363">
            <w:pPr>
              <w:spacing w:before="120" w:line="240" w:lineRule="auto"/>
              <w:jc w:val="center"/>
            </w:pPr>
            <w:r w:rsidRPr="00AF5B98">
              <w:rPr>
                <w:color w:val="000000"/>
              </w:rPr>
              <w:t>13.8</w:t>
            </w:r>
          </w:p>
        </w:tc>
        <w:tc>
          <w:tcPr>
            <w:tcW w:w="1701" w:type="dxa"/>
            <w:tcBorders>
              <w:top w:val="nil"/>
              <w:bottom w:val="nil"/>
            </w:tcBorders>
            <w:vAlign w:val="center"/>
          </w:tcPr>
          <w:p w:rsidR="000F5BBD" w:rsidRPr="00AF5B98" w:rsidRDefault="000F5BBD" w:rsidP="00C82363">
            <w:pPr>
              <w:spacing w:before="120" w:line="240" w:lineRule="auto"/>
              <w:jc w:val="center"/>
            </w:pPr>
            <w:r w:rsidRPr="00AF5B98">
              <w:rPr>
                <w:color w:val="000000"/>
              </w:rPr>
              <w:t>1,528</w:t>
            </w:r>
          </w:p>
        </w:tc>
        <w:tc>
          <w:tcPr>
            <w:tcW w:w="1701" w:type="dxa"/>
            <w:tcBorders>
              <w:top w:val="nil"/>
              <w:bottom w:val="nil"/>
              <w:right w:val="nil"/>
            </w:tcBorders>
            <w:vAlign w:val="center"/>
          </w:tcPr>
          <w:p w:rsidR="000F5BBD" w:rsidRPr="00AF5B98" w:rsidRDefault="000F5BBD" w:rsidP="00C82363">
            <w:pPr>
              <w:spacing w:before="120" w:line="240" w:lineRule="auto"/>
              <w:jc w:val="center"/>
            </w:pPr>
            <w:r w:rsidRPr="00AF5B98">
              <w:rPr>
                <w:color w:val="000000"/>
              </w:rPr>
              <w:t>12.6</w:t>
            </w:r>
          </w:p>
        </w:tc>
      </w:tr>
      <w:tr w:rsidR="000F5BBD" w:rsidTr="00BD0778">
        <w:trPr>
          <w:jc w:val="center"/>
        </w:trPr>
        <w:tc>
          <w:tcPr>
            <w:tcW w:w="4206" w:type="dxa"/>
            <w:tcBorders>
              <w:top w:val="nil"/>
              <w:left w:val="nil"/>
              <w:bottom w:val="nil"/>
            </w:tcBorders>
            <w:vAlign w:val="center"/>
          </w:tcPr>
          <w:p w:rsidR="000F5BBD" w:rsidRPr="00AF5B98" w:rsidRDefault="000F5BBD" w:rsidP="00AF5B98">
            <w:pPr>
              <w:spacing w:before="120" w:line="240" w:lineRule="auto"/>
              <w:rPr>
                <w:lang w:val="en-GB"/>
              </w:rPr>
            </w:pPr>
            <w:r w:rsidRPr="00AF5B98">
              <w:t>Vegetables and fruits</w:t>
            </w:r>
          </w:p>
        </w:tc>
        <w:tc>
          <w:tcPr>
            <w:tcW w:w="1701" w:type="dxa"/>
            <w:tcBorders>
              <w:top w:val="nil"/>
              <w:bottom w:val="nil"/>
            </w:tcBorders>
            <w:vAlign w:val="center"/>
          </w:tcPr>
          <w:p w:rsidR="000F5BBD" w:rsidRPr="00AF5B98" w:rsidRDefault="000F5BBD" w:rsidP="00C82363">
            <w:pPr>
              <w:spacing w:before="120" w:line="240" w:lineRule="auto"/>
              <w:jc w:val="center"/>
            </w:pPr>
            <w:r w:rsidRPr="00AF5B98">
              <w:rPr>
                <w:color w:val="000000"/>
              </w:rPr>
              <w:t>556</w:t>
            </w:r>
          </w:p>
        </w:tc>
        <w:tc>
          <w:tcPr>
            <w:tcW w:w="1701" w:type="dxa"/>
            <w:tcBorders>
              <w:top w:val="nil"/>
              <w:bottom w:val="nil"/>
            </w:tcBorders>
            <w:vAlign w:val="center"/>
          </w:tcPr>
          <w:p w:rsidR="000F5BBD" w:rsidRPr="00AF5B98" w:rsidRDefault="000F5BBD" w:rsidP="00C82363">
            <w:pPr>
              <w:spacing w:before="120" w:line="240" w:lineRule="auto"/>
              <w:jc w:val="center"/>
            </w:pPr>
            <w:r w:rsidRPr="00AF5B98">
              <w:rPr>
                <w:color w:val="000000"/>
              </w:rPr>
              <w:t>3.4</w:t>
            </w:r>
          </w:p>
        </w:tc>
        <w:tc>
          <w:tcPr>
            <w:tcW w:w="1701" w:type="dxa"/>
            <w:tcBorders>
              <w:top w:val="nil"/>
              <w:bottom w:val="nil"/>
            </w:tcBorders>
            <w:vAlign w:val="center"/>
          </w:tcPr>
          <w:p w:rsidR="000F5BBD" w:rsidRPr="00AF5B98" w:rsidRDefault="000F5BBD" w:rsidP="00C82363">
            <w:pPr>
              <w:spacing w:before="120" w:line="240" w:lineRule="auto"/>
              <w:jc w:val="center"/>
            </w:pPr>
            <w:r w:rsidRPr="00AF5B98">
              <w:rPr>
                <w:color w:val="000000"/>
              </w:rPr>
              <w:t>280</w:t>
            </w:r>
          </w:p>
        </w:tc>
        <w:tc>
          <w:tcPr>
            <w:tcW w:w="1701" w:type="dxa"/>
            <w:tcBorders>
              <w:top w:val="nil"/>
              <w:bottom w:val="nil"/>
              <w:right w:val="nil"/>
            </w:tcBorders>
            <w:vAlign w:val="center"/>
          </w:tcPr>
          <w:p w:rsidR="000F5BBD" w:rsidRPr="00AF5B98" w:rsidRDefault="000F5BBD" w:rsidP="00C82363">
            <w:pPr>
              <w:spacing w:before="120" w:line="240" w:lineRule="auto"/>
              <w:jc w:val="center"/>
            </w:pPr>
            <w:r w:rsidRPr="00AF5B98">
              <w:rPr>
                <w:color w:val="000000"/>
              </w:rPr>
              <w:t>2.3</w:t>
            </w:r>
          </w:p>
        </w:tc>
      </w:tr>
      <w:tr w:rsidR="000F5BBD" w:rsidTr="00BD0778">
        <w:trPr>
          <w:jc w:val="center"/>
        </w:trPr>
        <w:tc>
          <w:tcPr>
            <w:tcW w:w="4206" w:type="dxa"/>
            <w:tcBorders>
              <w:top w:val="nil"/>
              <w:left w:val="nil"/>
              <w:bottom w:val="nil"/>
            </w:tcBorders>
            <w:vAlign w:val="center"/>
          </w:tcPr>
          <w:p w:rsidR="000F5BBD" w:rsidRPr="00AF5B98" w:rsidRDefault="000F5BBD" w:rsidP="00AF5B98">
            <w:pPr>
              <w:spacing w:before="120" w:line="240" w:lineRule="auto"/>
            </w:pPr>
            <w:r w:rsidRPr="00AF5B98">
              <w:t>Housing</w:t>
            </w:r>
          </w:p>
        </w:tc>
        <w:tc>
          <w:tcPr>
            <w:tcW w:w="1701" w:type="dxa"/>
            <w:tcBorders>
              <w:top w:val="nil"/>
              <w:bottom w:val="nil"/>
            </w:tcBorders>
            <w:vAlign w:val="center"/>
          </w:tcPr>
          <w:p w:rsidR="000F5BBD" w:rsidRPr="00AF5B98" w:rsidRDefault="000F5BBD" w:rsidP="00C82363">
            <w:pPr>
              <w:spacing w:before="120" w:line="240" w:lineRule="auto"/>
              <w:jc w:val="center"/>
            </w:pPr>
            <w:r w:rsidRPr="00AF5B98">
              <w:rPr>
                <w:color w:val="000000"/>
              </w:rPr>
              <w:t>4,089</w:t>
            </w:r>
          </w:p>
        </w:tc>
        <w:tc>
          <w:tcPr>
            <w:tcW w:w="1701" w:type="dxa"/>
            <w:tcBorders>
              <w:top w:val="nil"/>
              <w:bottom w:val="nil"/>
            </w:tcBorders>
            <w:vAlign w:val="center"/>
          </w:tcPr>
          <w:p w:rsidR="000F5BBD" w:rsidRPr="00AF5B98" w:rsidRDefault="000F5BBD" w:rsidP="00C82363">
            <w:pPr>
              <w:spacing w:before="120" w:line="240" w:lineRule="auto"/>
              <w:jc w:val="center"/>
            </w:pPr>
            <w:r w:rsidRPr="00AF5B98">
              <w:rPr>
                <w:color w:val="000000"/>
              </w:rPr>
              <w:t>24.8</w:t>
            </w:r>
          </w:p>
        </w:tc>
        <w:tc>
          <w:tcPr>
            <w:tcW w:w="1701" w:type="dxa"/>
            <w:tcBorders>
              <w:top w:val="nil"/>
              <w:bottom w:val="nil"/>
            </w:tcBorders>
            <w:vAlign w:val="center"/>
          </w:tcPr>
          <w:p w:rsidR="000F5BBD" w:rsidRPr="00AF5B98" w:rsidRDefault="000F5BBD" w:rsidP="00C82363">
            <w:pPr>
              <w:spacing w:before="120" w:line="240" w:lineRule="auto"/>
              <w:jc w:val="center"/>
            </w:pPr>
            <w:r w:rsidRPr="00AF5B98">
              <w:rPr>
                <w:color w:val="000000"/>
              </w:rPr>
              <w:t>3,646</w:t>
            </w:r>
          </w:p>
        </w:tc>
        <w:tc>
          <w:tcPr>
            <w:tcW w:w="1701" w:type="dxa"/>
            <w:tcBorders>
              <w:top w:val="nil"/>
              <w:bottom w:val="nil"/>
              <w:right w:val="nil"/>
            </w:tcBorders>
            <w:vAlign w:val="center"/>
          </w:tcPr>
          <w:p w:rsidR="000F5BBD" w:rsidRPr="00AF5B98" w:rsidRDefault="000F5BBD" w:rsidP="00C82363">
            <w:pPr>
              <w:spacing w:before="120" w:line="240" w:lineRule="auto"/>
              <w:jc w:val="center"/>
            </w:pPr>
            <w:r w:rsidRPr="00AF5B98">
              <w:rPr>
                <w:color w:val="000000"/>
              </w:rPr>
              <w:t>30.2</w:t>
            </w:r>
          </w:p>
        </w:tc>
      </w:tr>
      <w:tr w:rsidR="000F5BBD" w:rsidTr="00BD0778">
        <w:trPr>
          <w:jc w:val="center"/>
        </w:trPr>
        <w:tc>
          <w:tcPr>
            <w:tcW w:w="4206" w:type="dxa"/>
            <w:tcBorders>
              <w:top w:val="nil"/>
              <w:left w:val="nil"/>
              <w:bottom w:val="nil"/>
            </w:tcBorders>
            <w:vAlign w:val="center"/>
          </w:tcPr>
          <w:p w:rsidR="000F5BBD" w:rsidRPr="00AF5B98" w:rsidRDefault="000F5BBD" w:rsidP="00AF5B98">
            <w:pPr>
              <w:spacing w:before="120" w:line="240" w:lineRule="auto"/>
              <w:rPr>
                <w:spacing w:val="-4"/>
              </w:rPr>
            </w:pPr>
            <w:r w:rsidRPr="00AF5B98">
              <w:rPr>
                <w:spacing w:val="-4"/>
              </w:rPr>
              <w:t>Dwelling and household maintenance</w:t>
            </w:r>
          </w:p>
        </w:tc>
        <w:tc>
          <w:tcPr>
            <w:tcW w:w="1701" w:type="dxa"/>
            <w:tcBorders>
              <w:top w:val="nil"/>
              <w:bottom w:val="nil"/>
            </w:tcBorders>
            <w:vAlign w:val="center"/>
          </w:tcPr>
          <w:p w:rsidR="000F5BBD" w:rsidRPr="00AF5B98" w:rsidRDefault="000F5BBD" w:rsidP="00C82363">
            <w:pPr>
              <w:spacing w:before="120" w:line="240" w:lineRule="auto"/>
              <w:jc w:val="center"/>
            </w:pPr>
            <w:r w:rsidRPr="00AF5B98">
              <w:rPr>
                <w:color w:val="000000"/>
              </w:rPr>
              <w:t>1,498</w:t>
            </w:r>
          </w:p>
        </w:tc>
        <w:tc>
          <w:tcPr>
            <w:tcW w:w="1701" w:type="dxa"/>
            <w:tcBorders>
              <w:top w:val="nil"/>
              <w:bottom w:val="nil"/>
            </w:tcBorders>
            <w:vAlign w:val="center"/>
          </w:tcPr>
          <w:p w:rsidR="000F5BBD" w:rsidRPr="00AF5B98" w:rsidRDefault="000F5BBD" w:rsidP="00C82363">
            <w:pPr>
              <w:spacing w:before="120" w:line="240" w:lineRule="auto"/>
              <w:jc w:val="center"/>
            </w:pPr>
            <w:r w:rsidRPr="00AF5B98">
              <w:rPr>
                <w:color w:val="000000"/>
              </w:rPr>
              <w:t>9.1</w:t>
            </w:r>
          </w:p>
        </w:tc>
        <w:tc>
          <w:tcPr>
            <w:tcW w:w="1701" w:type="dxa"/>
            <w:tcBorders>
              <w:top w:val="nil"/>
              <w:bottom w:val="nil"/>
            </w:tcBorders>
            <w:vAlign w:val="center"/>
          </w:tcPr>
          <w:p w:rsidR="000F5BBD" w:rsidRPr="00AF5B98" w:rsidRDefault="000F5BBD" w:rsidP="00C82363">
            <w:pPr>
              <w:spacing w:before="120" w:line="240" w:lineRule="auto"/>
              <w:jc w:val="center"/>
            </w:pPr>
            <w:r w:rsidRPr="00AF5B98">
              <w:rPr>
                <w:color w:val="000000"/>
              </w:rPr>
              <w:t>1,239</w:t>
            </w:r>
          </w:p>
        </w:tc>
        <w:tc>
          <w:tcPr>
            <w:tcW w:w="1701" w:type="dxa"/>
            <w:tcBorders>
              <w:top w:val="nil"/>
              <w:bottom w:val="nil"/>
              <w:right w:val="nil"/>
            </w:tcBorders>
            <w:vAlign w:val="center"/>
          </w:tcPr>
          <w:p w:rsidR="000F5BBD" w:rsidRPr="00AF5B98" w:rsidRDefault="000F5BBD" w:rsidP="00C82363">
            <w:pPr>
              <w:spacing w:before="120" w:line="240" w:lineRule="auto"/>
              <w:jc w:val="center"/>
            </w:pPr>
            <w:r w:rsidRPr="00AF5B98">
              <w:rPr>
                <w:color w:val="000000"/>
              </w:rPr>
              <w:t>10.3</w:t>
            </w:r>
          </w:p>
        </w:tc>
      </w:tr>
      <w:tr w:rsidR="000F5BBD" w:rsidTr="00BD0778">
        <w:trPr>
          <w:jc w:val="center"/>
        </w:trPr>
        <w:tc>
          <w:tcPr>
            <w:tcW w:w="4206" w:type="dxa"/>
            <w:tcBorders>
              <w:top w:val="nil"/>
              <w:left w:val="nil"/>
              <w:bottom w:val="nil"/>
            </w:tcBorders>
            <w:vAlign w:val="center"/>
          </w:tcPr>
          <w:p w:rsidR="000F5BBD" w:rsidRPr="00AF5B98" w:rsidRDefault="000F5BBD" w:rsidP="00AF5B98">
            <w:pPr>
              <w:spacing w:before="120" w:line="240" w:lineRule="auto"/>
              <w:rPr>
                <w:spacing w:val="-4"/>
              </w:rPr>
            </w:pPr>
            <w:r w:rsidRPr="00AF5B98">
              <w:rPr>
                <w:spacing w:val="-4"/>
              </w:rPr>
              <w:t>Furniture and household equipment</w:t>
            </w:r>
          </w:p>
        </w:tc>
        <w:tc>
          <w:tcPr>
            <w:tcW w:w="1701" w:type="dxa"/>
            <w:tcBorders>
              <w:top w:val="nil"/>
              <w:bottom w:val="nil"/>
            </w:tcBorders>
            <w:vAlign w:val="center"/>
          </w:tcPr>
          <w:p w:rsidR="000F5BBD" w:rsidRPr="00AF5B98" w:rsidRDefault="000F5BBD" w:rsidP="00C82363">
            <w:pPr>
              <w:spacing w:before="120" w:line="240" w:lineRule="auto"/>
              <w:jc w:val="center"/>
            </w:pPr>
            <w:r w:rsidRPr="00AF5B98">
              <w:rPr>
                <w:color w:val="000000"/>
              </w:rPr>
              <w:t>606</w:t>
            </w:r>
          </w:p>
        </w:tc>
        <w:tc>
          <w:tcPr>
            <w:tcW w:w="1701" w:type="dxa"/>
            <w:tcBorders>
              <w:top w:val="nil"/>
              <w:bottom w:val="nil"/>
            </w:tcBorders>
            <w:vAlign w:val="center"/>
          </w:tcPr>
          <w:p w:rsidR="000F5BBD" w:rsidRPr="00AF5B98" w:rsidRDefault="000F5BBD" w:rsidP="00C82363">
            <w:pPr>
              <w:spacing w:before="120" w:line="240" w:lineRule="auto"/>
              <w:jc w:val="center"/>
            </w:pPr>
            <w:r w:rsidRPr="00AF5B98">
              <w:rPr>
                <w:color w:val="000000"/>
              </w:rPr>
              <w:t>3.7</w:t>
            </w:r>
          </w:p>
        </w:tc>
        <w:tc>
          <w:tcPr>
            <w:tcW w:w="1701" w:type="dxa"/>
            <w:tcBorders>
              <w:top w:val="nil"/>
              <w:bottom w:val="nil"/>
            </w:tcBorders>
            <w:vAlign w:val="center"/>
          </w:tcPr>
          <w:p w:rsidR="000F5BBD" w:rsidRPr="00AF5B98" w:rsidRDefault="000F5BBD" w:rsidP="00C82363">
            <w:pPr>
              <w:spacing w:before="120" w:line="240" w:lineRule="auto"/>
              <w:jc w:val="center"/>
            </w:pPr>
            <w:r w:rsidRPr="00AF5B98">
              <w:rPr>
                <w:color w:val="000000"/>
              </w:rPr>
              <w:t>942</w:t>
            </w:r>
          </w:p>
        </w:tc>
        <w:tc>
          <w:tcPr>
            <w:tcW w:w="1701" w:type="dxa"/>
            <w:tcBorders>
              <w:top w:val="nil"/>
              <w:bottom w:val="nil"/>
              <w:right w:val="nil"/>
            </w:tcBorders>
            <w:vAlign w:val="center"/>
          </w:tcPr>
          <w:p w:rsidR="000F5BBD" w:rsidRPr="00AF5B98" w:rsidRDefault="000F5BBD" w:rsidP="00C82363">
            <w:pPr>
              <w:spacing w:before="120" w:line="240" w:lineRule="auto"/>
              <w:jc w:val="center"/>
            </w:pPr>
            <w:r w:rsidRPr="00AF5B98">
              <w:rPr>
                <w:color w:val="000000"/>
              </w:rPr>
              <w:t>7.8</w:t>
            </w:r>
          </w:p>
        </w:tc>
      </w:tr>
      <w:tr w:rsidR="000F5BBD" w:rsidTr="00BD0778">
        <w:trPr>
          <w:jc w:val="center"/>
        </w:trPr>
        <w:tc>
          <w:tcPr>
            <w:tcW w:w="4206" w:type="dxa"/>
            <w:tcBorders>
              <w:top w:val="nil"/>
              <w:left w:val="nil"/>
              <w:bottom w:val="nil"/>
            </w:tcBorders>
            <w:vAlign w:val="center"/>
          </w:tcPr>
          <w:p w:rsidR="000F5BBD" w:rsidRPr="00AF5B98" w:rsidRDefault="000F5BBD" w:rsidP="00AF5B98">
            <w:pPr>
              <w:spacing w:before="120" w:line="240" w:lineRule="auto"/>
            </w:pPr>
            <w:r w:rsidRPr="00AF5B98">
              <w:t>Clothing and footwear</w:t>
            </w:r>
          </w:p>
        </w:tc>
        <w:tc>
          <w:tcPr>
            <w:tcW w:w="1701" w:type="dxa"/>
            <w:tcBorders>
              <w:top w:val="nil"/>
              <w:bottom w:val="nil"/>
            </w:tcBorders>
            <w:vAlign w:val="center"/>
          </w:tcPr>
          <w:p w:rsidR="000F5BBD" w:rsidRPr="00AF5B98" w:rsidRDefault="000F5BBD" w:rsidP="00C82363">
            <w:pPr>
              <w:spacing w:before="120" w:line="240" w:lineRule="auto"/>
              <w:jc w:val="center"/>
            </w:pPr>
            <w:r w:rsidRPr="00AF5B98">
              <w:rPr>
                <w:color w:val="000000"/>
              </w:rPr>
              <w:t>492</w:t>
            </w:r>
          </w:p>
        </w:tc>
        <w:tc>
          <w:tcPr>
            <w:tcW w:w="1701" w:type="dxa"/>
            <w:tcBorders>
              <w:top w:val="nil"/>
              <w:bottom w:val="nil"/>
            </w:tcBorders>
            <w:vAlign w:val="center"/>
          </w:tcPr>
          <w:p w:rsidR="000F5BBD" w:rsidRPr="00AF5B98" w:rsidRDefault="000F5BBD" w:rsidP="00C82363">
            <w:pPr>
              <w:spacing w:before="120" w:line="240" w:lineRule="auto"/>
              <w:jc w:val="center"/>
            </w:pPr>
            <w:r w:rsidRPr="00AF5B98">
              <w:rPr>
                <w:color w:val="000000"/>
              </w:rPr>
              <w:t>3.0</w:t>
            </w:r>
          </w:p>
        </w:tc>
        <w:tc>
          <w:tcPr>
            <w:tcW w:w="1701" w:type="dxa"/>
            <w:tcBorders>
              <w:top w:val="nil"/>
              <w:bottom w:val="nil"/>
            </w:tcBorders>
            <w:vAlign w:val="center"/>
          </w:tcPr>
          <w:p w:rsidR="000F5BBD" w:rsidRPr="00AF5B98" w:rsidRDefault="000F5BBD" w:rsidP="00C82363">
            <w:pPr>
              <w:spacing w:before="120" w:line="240" w:lineRule="auto"/>
              <w:jc w:val="center"/>
            </w:pPr>
            <w:r w:rsidRPr="00AF5B98">
              <w:rPr>
                <w:color w:val="000000"/>
              </w:rPr>
              <w:t>471</w:t>
            </w:r>
          </w:p>
        </w:tc>
        <w:tc>
          <w:tcPr>
            <w:tcW w:w="1701" w:type="dxa"/>
            <w:tcBorders>
              <w:top w:val="nil"/>
              <w:bottom w:val="nil"/>
              <w:right w:val="nil"/>
            </w:tcBorders>
            <w:vAlign w:val="center"/>
          </w:tcPr>
          <w:p w:rsidR="000F5BBD" w:rsidRPr="00AF5B98" w:rsidRDefault="000F5BBD" w:rsidP="00C82363">
            <w:pPr>
              <w:spacing w:before="120" w:line="240" w:lineRule="auto"/>
              <w:jc w:val="center"/>
            </w:pPr>
            <w:r w:rsidRPr="00AF5B98">
              <w:rPr>
                <w:color w:val="000000"/>
              </w:rPr>
              <w:t>3.9</w:t>
            </w:r>
          </w:p>
        </w:tc>
      </w:tr>
      <w:tr w:rsidR="000F5BBD" w:rsidTr="00BD0778">
        <w:trPr>
          <w:jc w:val="center"/>
        </w:trPr>
        <w:tc>
          <w:tcPr>
            <w:tcW w:w="4206" w:type="dxa"/>
            <w:tcBorders>
              <w:top w:val="nil"/>
              <w:left w:val="nil"/>
              <w:bottom w:val="nil"/>
            </w:tcBorders>
            <w:vAlign w:val="center"/>
          </w:tcPr>
          <w:p w:rsidR="000F5BBD" w:rsidRPr="00AF5B98" w:rsidRDefault="000F5BBD" w:rsidP="00AF5B98">
            <w:pPr>
              <w:spacing w:before="120" w:line="240" w:lineRule="auto"/>
            </w:pPr>
            <w:r w:rsidRPr="00AF5B98">
              <w:t>Health</w:t>
            </w:r>
          </w:p>
        </w:tc>
        <w:tc>
          <w:tcPr>
            <w:tcW w:w="1701" w:type="dxa"/>
            <w:tcBorders>
              <w:top w:val="nil"/>
              <w:bottom w:val="nil"/>
            </w:tcBorders>
            <w:vAlign w:val="center"/>
          </w:tcPr>
          <w:p w:rsidR="000F5BBD" w:rsidRPr="00AF5B98" w:rsidRDefault="000F5BBD" w:rsidP="00C82363">
            <w:pPr>
              <w:spacing w:before="120" w:line="240" w:lineRule="auto"/>
              <w:jc w:val="center"/>
            </w:pPr>
            <w:r w:rsidRPr="00AF5B98">
              <w:rPr>
                <w:color w:val="000000"/>
              </w:rPr>
              <w:t>984</w:t>
            </w:r>
          </w:p>
        </w:tc>
        <w:tc>
          <w:tcPr>
            <w:tcW w:w="1701" w:type="dxa"/>
            <w:tcBorders>
              <w:top w:val="nil"/>
              <w:bottom w:val="nil"/>
            </w:tcBorders>
            <w:vAlign w:val="center"/>
          </w:tcPr>
          <w:p w:rsidR="000F5BBD" w:rsidRPr="00AF5B98" w:rsidRDefault="000F5BBD" w:rsidP="00C82363">
            <w:pPr>
              <w:spacing w:before="120" w:line="240" w:lineRule="auto"/>
              <w:jc w:val="center"/>
            </w:pPr>
            <w:r w:rsidRPr="00AF5B98">
              <w:rPr>
                <w:color w:val="000000"/>
              </w:rPr>
              <w:t>6.0</w:t>
            </w:r>
          </w:p>
        </w:tc>
        <w:tc>
          <w:tcPr>
            <w:tcW w:w="1701" w:type="dxa"/>
            <w:tcBorders>
              <w:top w:val="nil"/>
              <w:bottom w:val="nil"/>
            </w:tcBorders>
            <w:vAlign w:val="center"/>
          </w:tcPr>
          <w:p w:rsidR="000F5BBD" w:rsidRPr="00AF5B98" w:rsidRDefault="000F5BBD" w:rsidP="00C82363">
            <w:pPr>
              <w:spacing w:before="120" w:line="240" w:lineRule="auto"/>
              <w:jc w:val="center"/>
            </w:pPr>
            <w:r w:rsidRPr="00AF5B98">
              <w:rPr>
                <w:color w:val="000000"/>
              </w:rPr>
              <w:t>537</w:t>
            </w:r>
          </w:p>
        </w:tc>
        <w:tc>
          <w:tcPr>
            <w:tcW w:w="1701" w:type="dxa"/>
            <w:tcBorders>
              <w:top w:val="nil"/>
              <w:bottom w:val="nil"/>
              <w:right w:val="nil"/>
            </w:tcBorders>
            <w:vAlign w:val="center"/>
          </w:tcPr>
          <w:p w:rsidR="000F5BBD" w:rsidRPr="00AF5B98" w:rsidRDefault="000F5BBD" w:rsidP="00C82363">
            <w:pPr>
              <w:spacing w:before="120" w:line="240" w:lineRule="auto"/>
              <w:jc w:val="center"/>
            </w:pPr>
            <w:r w:rsidRPr="00AF5B98">
              <w:rPr>
                <w:color w:val="000000"/>
              </w:rPr>
              <w:t>4.4</w:t>
            </w:r>
          </w:p>
        </w:tc>
      </w:tr>
      <w:tr w:rsidR="000F5BBD" w:rsidTr="00BD0778">
        <w:trPr>
          <w:jc w:val="center"/>
        </w:trPr>
        <w:tc>
          <w:tcPr>
            <w:tcW w:w="4206" w:type="dxa"/>
            <w:tcBorders>
              <w:top w:val="nil"/>
              <w:left w:val="nil"/>
              <w:bottom w:val="nil"/>
            </w:tcBorders>
            <w:vAlign w:val="center"/>
          </w:tcPr>
          <w:p w:rsidR="000F5BBD" w:rsidRPr="00AF5B98" w:rsidRDefault="000F5BBD" w:rsidP="00AF5B98">
            <w:pPr>
              <w:spacing w:before="120" w:line="240" w:lineRule="auto"/>
              <w:rPr>
                <w:spacing w:val="-4"/>
              </w:rPr>
            </w:pPr>
            <w:r w:rsidRPr="00AF5B98">
              <w:rPr>
                <w:spacing w:val="-4"/>
              </w:rPr>
              <w:t>Education, culture, and entertainment</w:t>
            </w:r>
          </w:p>
        </w:tc>
        <w:tc>
          <w:tcPr>
            <w:tcW w:w="1701" w:type="dxa"/>
            <w:tcBorders>
              <w:top w:val="nil"/>
              <w:bottom w:val="nil"/>
            </w:tcBorders>
            <w:vAlign w:val="center"/>
          </w:tcPr>
          <w:p w:rsidR="000F5BBD" w:rsidRPr="00AF5B98" w:rsidRDefault="000F5BBD" w:rsidP="00C82363">
            <w:pPr>
              <w:spacing w:before="120" w:line="240" w:lineRule="auto"/>
              <w:jc w:val="center"/>
            </w:pPr>
            <w:r w:rsidRPr="00AF5B98">
              <w:rPr>
                <w:color w:val="000000"/>
              </w:rPr>
              <w:t>1,798</w:t>
            </w:r>
          </w:p>
        </w:tc>
        <w:tc>
          <w:tcPr>
            <w:tcW w:w="1701" w:type="dxa"/>
            <w:tcBorders>
              <w:top w:val="nil"/>
              <w:bottom w:val="nil"/>
            </w:tcBorders>
            <w:vAlign w:val="center"/>
          </w:tcPr>
          <w:p w:rsidR="000F5BBD" w:rsidRPr="00AF5B98" w:rsidRDefault="000F5BBD" w:rsidP="00C82363">
            <w:pPr>
              <w:spacing w:before="120" w:line="240" w:lineRule="auto"/>
              <w:jc w:val="center"/>
            </w:pPr>
            <w:r w:rsidRPr="00AF5B98">
              <w:rPr>
                <w:color w:val="000000"/>
              </w:rPr>
              <w:t>10.9</w:t>
            </w:r>
          </w:p>
        </w:tc>
        <w:tc>
          <w:tcPr>
            <w:tcW w:w="1701" w:type="dxa"/>
            <w:tcBorders>
              <w:top w:val="nil"/>
              <w:bottom w:val="nil"/>
            </w:tcBorders>
            <w:vAlign w:val="center"/>
          </w:tcPr>
          <w:p w:rsidR="000F5BBD" w:rsidRPr="00AF5B98" w:rsidRDefault="000F5BBD" w:rsidP="00C82363">
            <w:pPr>
              <w:spacing w:before="120" w:line="240" w:lineRule="auto"/>
              <w:jc w:val="center"/>
            </w:pPr>
            <w:r w:rsidRPr="00AF5B98">
              <w:rPr>
                <w:color w:val="000000"/>
              </w:rPr>
              <w:t>1,234</w:t>
            </w:r>
          </w:p>
        </w:tc>
        <w:tc>
          <w:tcPr>
            <w:tcW w:w="1701" w:type="dxa"/>
            <w:tcBorders>
              <w:top w:val="nil"/>
              <w:bottom w:val="nil"/>
              <w:right w:val="nil"/>
            </w:tcBorders>
            <w:vAlign w:val="center"/>
          </w:tcPr>
          <w:p w:rsidR="000F5BBD" w:rsidRPr="00AF5B98" w:rsidRDefault="000F5BBD" w:rsidP="00C82363">
            <w:pPr>
              <w:spacing w:before="120" w:line="240" w:lineRule="auto"/>
              <w:jc w:val="center"/>
            </w:pPr>
            <w:r w:rsidRPr="00AF5B98">
              <w:rPr>
                <w:color w:val="000000"/>
              </w:rPr>
              <w:t>10.2</w:t>
            </w:r>
          </w:p>
        </w:tc>
      </w:tr>
      <w:tr w:rsidR="000F5BBD" w:rsidTr="00BD0778">
        <w:trPr>
          <w:jc w:val="center"/>
        </w:trPr>
        <w:tc>
          <w:tcPr>
            <w:tcW w:w="4206" w:type="dxa"/>
            <w:tcBorders>
              <w:top w:val="nil"/>
              <w:left w:val="nil"/>
              <w:bottom w:val="nil"/>
            </w:tcBorders>
            <w:vAlign w:val="center"/>
          </w:tcPr>
          <w:p w:rsidR="000F5BBD" w:rsidRPr="00AF5B98" w:rsidRDefault="000F5BBD" w:rsidP="00AF5B98">
            <w:pPr>
              <w:spacing w:before="120" w:line="240" w:lineRule="auto"/>
            </w:pPr>
            <w:r w:rsidRPr="00AF5B98">
              <w:t>Transport and communications</w:t>
            </w:r>
          </w:p>
        </w:tc>
        <w:tc>
          <w:tcPr>
            <w:tcW w:w="1701" w:type="dxa"/>
            <w:tcBorders>
              <w:top w:val="nil"/>
              <w:bottom w:val="nil"/>
            </w:tcBorders>
            <w:vAlign w:val="center"/>
          </w:tcPr>
          <w:p w:rsidR="000F5BBD" w:rsidRPr="00AF5B98" w:rsidRDefault="000F5BBD" w:rsidP="00C82363">
            <w:pPr>
              <w:spacing w:before="120" w:line="240" w:lineRule="auto"/>
              <w:jc w:val="center"/>
            </w:pPr>
            <w:r w:rsidRPr="00AF5B98">
              <w:rPr>
                <w:color w:val="000000"/>
              </w:rPr>
              <w:t>3,356</w:t>
            </w:r>
          </w:p>
        </w:tc>
        <w:tc>
          <w:tcPr>
            <w:tcW w:w="1701" w:type="dxa"/>
            <w:tcBorders>
              <w:top w:val="nil"/>
              <w:bottom w:val="nil"/>
            </w:tcBorders>
            <w:vAlign w:val="center"/>
          </w:tcPr>
          <w:p w:rsidR="000F5BBD" w:rsidRPr="00AF5B98" w:rsidRDefault="000F5BBD" w:rsidP="00C82363">
            <w:pPr>
              <w:spacing w:before="120" w:line="240" w:lineRule="auto"/>
              <w:jc w:val="center"/>
            </w:pPr>
            <w:r w:rsidRPr="00AF5B98">
              <w:rPr>
                <w:color w:val="000000"/>
              </w:rPr>
              <w:t>20.4</w:t>
            </w:r>
          </w:p>
        </w:tc>
        <w:tc>
          <w:tcPr>
            <w:tcW w:w="1701" w:type="dxa"/>
            <w:tcBorders>
              <w:top w:val="nil"/>
              <w:bottom w:val="nil"/>
            </w:tcBorders>
            <w:vAlign w:val="center"/>
          </w:tcPr>
          <w:p w:rsidR="000F5BBD" w:rsidRPr="00AF5B98" w:rsidRDefault="000F5BBD" w:rsidP="00C82363">
            <w:pPr>
              <w:spacing w:before="120" w:line="240" w:lineRule="auto"/>
              <w:jc w:val="center"/>
            </w:pPr>
            <w:r w:rsidRPr="00AF5B98">
              <w:rPr>
                <w:color w:val="000000"/>
              </w:rPr>
              <w:t>1,732</w:t>
            </w:r>
          </w:p>
        </w:tc>
        <w:tc>
          <w:tcPr>
            <w:tcW w:w="1701" w:type="dxa"/>
            <w:tcBorders>
              <w:top w:val="nil"/>
              <w:bottom w:val="nil"/>
              <w:right w:val="nil"/>
            </w:tcBorders>
            <w:vAlign w:val="center"/>
          </w:tcPr>
          <w:p w:rsidR="000F5BBD" w:rsidRPr="00AF5B98" w:rsidRDefault="000F5BBD" w:rsidP="00C82363">
            <w:pPr>
              <w:spacing w:before="120" w:line="240" w:lineRule="auto"/>
              <w:jc w:val="center"/>
            </w:pPr>
            <w:r w:rsidRPr="00AF5B98">
              <w:rPr>
                <w:color w:val="000000"/>
              </w:rPr>
              <w:t>14.3</w:t>
            </w:r>
          </w:p>
        </w:tc>
      </w:tr>
      <w:tr w:rsidR="000F5BBD" w:rsidTr="00BD0778">
        <w:trPr>
          <w:jc w:val="center"/>
        </w:trPr>
        <w:tc>
          <w:tcPr>
            <w:tcW w:w="4206" w:type="dxa"/>
            <w:tcBorders>
              <w:top w:val="nil"/>
              <w:left w:val="nil"/>
              <w:bottom w:val="double" w:sz="4" w:space="0" w:color="auto"/>
            </w:tcBorders>
            <w:vAlign w:val="center"/>
          </w:tcPr>
          <w:p w:rsidR="000F5BBD" w:rsidRPr="00AF5B98" w:rsidRDefault="000F5BBD" w:rsidP="00AF5B98">
            <w:pPr>
              <w:spacing w:before="120" w:line="240" w:lineRule="auto"/>
            </w:pPr>
            <w:r w:rsidRPr="00AF5B98">
              <w:t>Miscellaneous goods and services</w:t>
            </w:r>
          </w:p>
        </w:tc>
        <w:tc>
          <w:tcPr>
            <w:tcW w:w="1701" w:type="dxa"/>
            <w:tcBorders>
              <w:top w:val="nil"/>
              <w:bottom w:val="double" w:sz="4" w:space="0" w:color="auto"/>
            </w:tcBorders>
            <w:vAlign w:val="center"/>
          </w:tcPr>
          <w:p w:rsidR="000F5BBD" w:rsidRPr="00AF5B98" w:rsidRDefault="000F5BBD" w:rsidP="00C82363">
            <w:pPr>
              <w:spacing w:before="120" w:line="240" w:lineRule="auto"/>
              <w:jc w:val="center"/>
            </w:pPr>
            <w:r w:rsidRPr="00AF5B98">
              <w:rPr>
                <w:color w:val="000000"/>
              </w:rPr>
              <w:t>815</w:t>
            </w:r>
          </w:p>
        </w:tc>
        <w:tc>
          <w:tcPr>
            <w:tcW w:w="1701" w:type="dxa"/>
            <w:tcBorders>
              <w:top w:val="nil"/>
              <w:bottom w:val="double" w:sz="4" w:space="0" w:color="auto"/>
            </w:tcBorders>
            <w:vAlign w:val="center"/>
          </w:tcPr>
          <w:p w:rsidR="000F5BBD" w:rsidRPr="00AF5B98" w:rsidRDefault="000F5BBD" w:rsidP="00C82363">
            <w:pPr>
              <w:spacing w:before="120" w:line="240" w:lineRule="auto"/>
              <w:jc w:val="center"/>
            </w:pPr>
            <w:r w:rsidRPr="00AF5B98">
              <w:rPr>
                <w:color w:val="000000"/>
              </w:rPr>
              <w:t>4.9</w:t>
            </w:r>
          </w:p>
        </w:tc>
        <w:tc>
          <w:tcPr>
            <w:tcW w:w="1701" w:type="dxa"/>
            <w:tcBorders>
              <w:top w:val="nil"/>
              <w:bottom w:val="double" w:sz="4" w:space="0" w:color="auto"/>
            </w:tcBorders>
            <w:vAlign w:val="center"/>
          </w:tcPr>
          <w:p w:rsidR="000F5BBD" w:rsidRPr="00AF5B98" w:rsidRDefault="000F5BBD" w:rsidP="00C82363">
            <w:pPr>
              <w:spacing w:before="120" w:line="240" w:lineRule="auto"/>
              <w:jc w:val="center"/>
            </w:pPr>
            <w:r w:rsidRPr="00AF5B98">
              <w:rPr>
                <w:color w:val="000000"/>
              </w:rPr>
              <w:t>475</w:t>
            </w:r>
          </w:p>
        </w:tc>
        <w:tc>
          <w:tcPr>
            <w:tcW w:w="1701" w:type="dxa"/>
            <w:tcBorders>
              <w:top w:val="nil"/>
              <w:bottom w:val="double" w:sz="4" w:space="0" w:color="auto"/>
              <w:right w:val="nil"/>
            </w:tcBorders>
            <w:vAlign w:val="center"/>
          </w:tcPr>
          <w:p w:rsidR="000F5BBD" w:rsidRPr="00AF5B98" w:rsidRDefault="000F5BBD" w:rsidP="00C82363">
            <w:pPr>
              <w:spacing w:before="120" w:line="240" w:lineRule="auto"/>
              <w:jc w:val="center"/>
            </w:pPr>
            <w:r w:rsidRPr="00AF5B98">
              <w:rPr>
                <w:color w:val="000000"/>
              </w:rPr>
              <w:t>3.9</w:t>
            </w:r>
          </w:p>
        </w:tc>
      </w:tr>
    </w:tbl>
    <w:p w:rsidR="000F5BBD" w:rsidRDefault="000F5BBD" w:rsidP="00461897">
      <w:pPr>
        <w:pStyle w:val="text1"/>
      </w:pPr>
      <w:r>
        <w:br w:type="page"/>
      </w:r>
    </w:p>
    <w:p w:rsidR="003E523B" w:rsidRPr="003E523B" w:rsidRDefault="003E523B" w:rsidP="00672E3C">
      <w:r w:rsidRPr="003E523B">
        <w:t xml:space="preserve">The percentages of </w:t>
      </w:r>
      <w:r>
        <w:t xml:space="preserve">expenditure of households in the </w:t>
      </w:r>
      <w:r w:rsidR="001C7D67">
        <w:t>overall</w:t>
      </w:r>
      <w:r>
        <w:t xml:space="preserve"> population are higher for most items than </w:t>
      </w:r>
      <w:r w:rsidR="00593B68">
        <w:t>in</w:t>
      </w:r>
      <w:r>
        <w:t xml:space="preserve"> households of persons of Ethiopian origin</w:t>
      </w:r>
      <w:r w:rsidR="00593B68">
        <w:t>, with the following exceptions:</w:t>
      </w:r>
      <w:r>
        <w:t xml:space="preserve"> housing (30.2% </w:t>
      </w:r>
      <w:r w:rsidR="00A931AB">
        <w:t>versus</w:t>
      </w:r>
      <w:r>
        <w:t xml:space="preserve"> 24.8%, respectively)</w:t>
      </w:r>
      <w:r w:rsidR="00ED337B">
        <w:t>;</w:t>
      </w:r>
      <w:r w:rsidR="00071523">
        <w:t xml:space="preserve"> furniture and household equipment </w:t>
      </w:r>
      <w:r w:rsidR="00A931AB">
        <w:t>(7.8% versus 3.7%, respectively)</w:t>
      </w:r>
      <w:r w:rsidR="00ED337B">
        <w:t>;</w:t>
      </w:r>
      <w:r w:rsidR="00A931AB">
        <w:t xml:space="preserve"> clothing and footwear (3.9% versus </w:t>
      </w:r>
      <w:r w:rsidR="00B06E09">
        <w:t>3.0%, respectively)</w:t>
      </w:r>
      <w:r w:rsidR="00ED337B">
        <w:t>;</w:t>
      </w:r>
      <w:r w:rsidR="00B06E09">
        <w:t xml:space="preserve"> and maintenance of dwelling (10.3% versus 9.1%, respectively)</w:t>
      </w:r>
      <w:r w:rsidR="00C84FDC">
        <w:t>.</w:t>
      </w:r>
    </w:p>
    <w:p w:rsidR="00072C7E" w:rsidRPr="002D6EF3" w:rsidRDefault="00072C7E" w:rsidP="00672E3C">
      <w:r w:rsidRPr="002D6EF3">
        <w:t xml:space="preserve">In terms of ownership of communication products, there are differences between households of persons of Ethiopian origin and households in the overall population. Among </w:t>
      </w:r>
      <w:r w:rsidR="002B4F8F" w:rsidRPr="002D6EF3">
        <w:t>households</w:t>
      </w:r>
      <w:r w:rsidRPr="002D6EF3">
        <w:t xml:space="preserve"> of Ethiopian origin, the percentage of ownership of most </w:t>
      </w:r>
      <w:r w:rsidR="003B583B" w:rsidRPr="002D6EF3">
        <w:t xml:space="preserve">of the products is low compared with households in the overall population, except for </w:t>
      </w:r>
      <w:r w:rsidR="002B4F8F" w:rsidRPr="002D6EF3">
        <w:t xml:space="preserve">mobile </w:t>
      </w:r>
      <w:r w:rsidR="003B583B" w:rsidRPr="002D6EF3">
        <w:t>phones: 9</w:t>
      </w:r>
      <w:r w:rsidR="000031AD" w:rsidRPr="002D6EF3">
        <w:t>9</w:t>
      </w:r>
      <w:r w:rsidR="003B583B" w:rsidRPr="002D6EF3">
        <w:t>.</w:t>
      </w:r>
      <w:r w:rsidR="000031AD" w:rsidRPr="002D6EF3">
        <w:t>1</w:t>
      </w:r>
      <w:r w:rsidR="003B583B" w:rsidRPr="002D6EF3">
        <w:t>% (compared with 97.</w:t>
      </w:r>
      <w:r w:rsidR="000031AD" w:rsidRPr="002D6EF3">
        <w:t>9</w:t>
      </w:r>
      <w:r w:rsidR="003B583B" w:rsidRPr="002D6EF3">
        <w:t>% in the overall population).</w:t>
      </w:r>
    </w:p>
    <w:p w:rsidR="00147708" w:rsidRPr="00672E3C" w:rsidRDefault="00AD2F44" w:rsidP="00672E3C">
      <w:pPr>
        <w:jc w:val="center"/>
        <w:rPr>
          <w:b/>
          <w:bCs/>
        </w:rPr>
      </w:pPr>
      <w:r w:rsidRPr="00672E3C">
        <w:rPr>
          <w:b/>
          <w:bCs/>
        </w:rPr>
        <w:t xml:space="preserve">Diagram </w:t>
      </w:r>
      <w:r w:rsidR="000031AD" w:rsidRPr="00672E3C">
        <w:rPr>
          <w:b/>
          <w:bCs/>
        </w:rPr>
        <w:t>14</w:t>
      </w:r>
      <w:r w:rsidR="001C7D67" w:rsidRPr="00672E3C">
        <w:rPr>
          <w:b/>
          <w:bCs/>
        </w:rPr>
        <w:t xml:space="preserve"> -</w:t>
      </w:r>
      <w:r w:rsidRPr="00672E3C">
        <w:rPr>
          <w:b/>
          <w:bCs/>
        </w:rPr>
        <w:t xml:space="preserve"> Ownership of Communication Products in Households in the Overall Population and in Households of Persons of Ethiopian Origin, 201</w:t>
      </w:r>
      <w:r w:rsidR="000031AD" w:rsidRPr="00672E3C">
        <w:rPr>
          <w:b/>
          <w:bCs/>
        </w:rPr>
        <w:t>8</w:t>
      </w:r>
    </w:p>
    <w:p w:rsidR="00AD2F44" w:rsidRDefault="00DA19A5" w:rsidP="00C21133">
      <w:pPr>
        <w:pStyle w:val="diagram"/>
      </w:pPr>
      <w:r>
        <w:rPr>
          <w:noProof/>
          <w:lang w:eastAsia="en-US"/>
        </w:rPr>
        <w:drawing>
          <wp:inline distT="0" distB="0" distL="0" distR="0" wp14:anchorId="56B56694" wp14:editId="082D2186">
            <wp:extent cx="5960853" cy="3471320"/>
            <wp:effectExtent l="0" t="0" r="1905" b="0"/>
            <wp:docPr id="19" name="Picture 19" descr="Diagram 14 - Ownership of Communication Products in Households in the Overall Population and in Households of Persons of Ethiopian Origin, 2018" title="Diagram 14 - Ownership of Communication Products in Households in the Overall Population and in Households of Persons of Ethiopian Origin,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64264" cy="3473306"/>
                    </a:xfrm>
                    <a:prstGeom prst="rect">
                      <a:avLst/>
                    </a:prstGeom>
                    <a:noFill/>
                  </pic:spPr>
                </pic:pic>
              </a:graphicData>
            </a:graphic>
          </wp:inline>
        </w:drawing>
      </w:r>
    </w:p>
    <w:p w:rsidR="00672E3C" w:rsidRDefault="00597F7A" w:rsidP="00672E3C">
      <w:r>
        <w:t xml:space="preserve">The percentage of ownership of products for the kitchen and the home is also lower in households of persons of Ethiopian origin than in the overall population, except for ownership of a </w:t>
      </w:r>
      <w:r w:rsidR="00911698">
        <w:t>cooking and baking stove</w:t>
      </w:r>
      <w:r>
        <w:t xml:space="preserve"> and microwave.</w:t>
      </w:r>
    </w:p>
    <w:p w:rsidR="00672E3C" w:rsidRDefault="00672E3C">
      <w:pPr>
        <w:spacing w:after="200" w:line="276" w:lineRule="auto"/>
      </w:pPr>
      <w:r>
        <w:br w:type="page"/>
      </w:r>
    </w:p>
    <w:p w:rsidR="00791926" w:rsidRPr="00672E3C" w:rsidRDefault="00791926" w:rsidP="00672E3C">
      <w:pPr>
        <w:jc w:val="center"/>
        <w:rPr>
          <w:b/>
          <w:bCs/>
        </w:rPr>
      </w:pPr>
      <w:r w:rsidRPr="00672E3C">
        <w:rPr>
          <w:b/>
          <w:bCs/>
        </w:rPr>
        <w:t xml:space="preserve">Diagram </w:t>
      </w:r>
      <w:r w:rsidR="00090F07" w:rsidRPr="00672E3C">
        <w:rPr>
          <w:b/>
          <w:bCs/>
        </w:rPr>
        <w:t>15</w:t>
      </w:r>
      <w:r w:rsidR="001C7D67" w:rsidRPr="00672E3C">
        <w:rPr>
          <w:b/>
          <w:bCs/>
        </w:rPr>
        <w:t xml:space="preserve"> -</w:t>
      </w:r>
      <w:r w:rsidRPr="00672E3C">
        <w:rPr>
          <w:b/>
          <w:bCs/>
        </w:rPr>
        <w:t xml:space="preserve"> Ownership of Kitchen Appliances in Households in the Overall Population and in Households of Persons of Ethiopian Origin, 201</w:t>
      </w:r>
      <w:r w:rsidR="00090F07" w:rsidRPr="00672E3C">
        <w:rPr>
          <w:b/>
          <w:bCs/>
        </w:rPr>
        <w:t>8</w:t>
      </w:r>
    </w:p>
    <w:p w:rsidR="0033514F" w:rsidRDefault="007640AF" w:rsidP="00C21133">
      <w:pPr>
        <w:pStyle w:val="diagram"/>
      </w:pPr>
      <w:r>
        <w:rPr>
          <w:noProof/>
          <w:lang w:eastAsia="en-US"/>
        </w:rPr>
        <w:drawing>
          <wp:inline distT="0" distB="0" distL="0" distR="0" wp14:anchorId="12AB0680" wp14:editId="5CAB0E5D">
            <wp:extent cx="5349240" cy="3520440"/>
            <wp:effectExtent l="0" t="0" r="3810" b="3810"/>
            <wp:docPr id="20" name="Picture 20" descr="Diagram 15 - Ownership of Kitchen Appliances in Households in the Overall Population and in Households of Persons of Ethiopian Origin, 2018" title="Diagram 15 - Ownership of Kitchen Appliances in Households in the Overall Population and in Households of Persons of Ethiopian Origin,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349240" cy="3520440"/>
                    </a:xfrm>
                    <a:prstGeom prst="rect">
                      <a:avLst/>
                    </a:prstGeom>
                    <a:noFill/>
                  </pic:spPr>
                </pic:pic>
              </a:graphicData>
            </a:graphic>
          </wp:inline>
        </w:drawing>
      </w:r>
    </w:p>
    <w:sectPr w:rsidR="0033514F" w:rsidSect="00975F45">
      <w:headerReference w:type="default" r:id="rId27"/>
      <w:footerReference w:type="even" r:id="rId28"/>
      <w:footerReference w:type="default" r:id="rId29"/>
      <w:headerReference w:type="first" r:id="rId30"/>
      <w:footerReference w:type="first" r:id="rId31"/>
      <w:pgSz w:w="11906" w:h="16838" w:code="9"/>
      <w:pgMar w:top="960" w:right="1138" w:bottom="1138" w:left="1138" w:header="706" w:footer="706"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1AF8" w:rsidRDefault="00D41AF8" w:rsidP="00975F45">
      <w:r>
        <w:separator/>
      </w:r>
    </w:p>
  </w:endnote>
  <w:endnote w:type="continuationSeparator" w:id="0">
    <w:p w:rsidR="00D41AF8" w:rsidRDefault="00D41AF8" w:rsidP="00975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uttman Hatzvi">
    <w:panose1 w:val="02010401010101010101"/>
    <w:charset w:val="B1"/>
    <w:family w:val="auto"/>
    <w:pitch w:val="variable"/>
    <w:sig w:usb0="00000801" w:usb1="40000000" w:usb2="00000000" w:usb3="00000000" w:csb0="0000002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F45" w:rsidRDefault="00975F45" w:rsidP="009A197A">
    <w:pPr>
      <w:pStyle w:val="Footer"/>
      <w:bidi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7765612"/>
      <w:docPartObj>
        <w:docPartGallery w:val="Page Numbers (Bottom of Page)"/>
        <w:docPartUnique/>
      </w:docPartObj>
    </w:sdtPr>
    <w:sdtEndPr/>
    <w:sdtContent>
      <w:p w:rsidR="00975F45" w:rsidRPr="001C2875" w:rsidRDefault="00975F45" w:rsidP="00695A74">
        <w:pPr>
          <w:pStyle w:val="Pagenumber0"/>
          <w:jc w:val="right"/>
        </w:pPr>
        <w:r w:rsidRPr="001C2875">
          <w:rPr>
            <w:noProof w:val="0"/>
          </w:rPr>
          <w:fldChar w:fldCharType="begin"/>
        </w:r>
        <w:r w:rsidRPr="001C2875">
          <w:instrText xml:space="preserve"> PAGE   \* MERGEFORMAT </w:instrText>
        </w:r>
        <w:r w:rsidRPr="001C2875">
          <w:rPr>
            <w:noProof w:val="0"/>
          </w:rPr>
          <w:fldChar w:fldCharType="separate"/>
        </w:r>
        <w:r w:rsidR="0069126C">
          <w:t>2</w:t>
        </w:r>
        <w:r w:rsidRPr="001C2875">
          <w:fldChar w:fldCharType="end"/>
        </w:r>
      </w:p>
      <w:p w:rsidR="00695A74" w:rsidRPr="004243FD" w:rsidRDefault="00695A74" w:rsidP="00695A74">
        <w:pPr>
          <w:pStyle w:val="footer1"/>
          <w:pBdr>
            <w:top w:val="none" w:sz="0" w:space="0" w:color="auto"/>
          </w:pBdr>
          <w:spacing w:before="0" w:after="0"/>
          <w:jc w:val="left"/>
          <w:rPr>
            <w:b/>
            <w:bCs/>
          </w:rPr>
        </w:pPr>
        <w:r w:rsidRPr="004243FD">
          <w:rPr>
            <w:b/>
            <w:bCs/>
          </w:rPr>
          <w:t>The Population of Ethiopian Origin in Israel:</w:t>
        </w:r>
      </w:p>
      <w:p w:rsidR="00975F45" w:rsidRPr="00975F45" w:rsidRDefault="00695A74" w:rsidP="00695A74">
        <w:pPr>
          <w:pStyle w:val="footer2"/>
          <w:pBdr>
            <w:top w:val="none" w:sz="0" w:space="0" w:color="auto"/>
          </w:pBdr>
          <w:jc w:val="left"/>
        </w:pPr>
        <w:r w:rsidRPr="004243FD">
          <w:rPr>
            <w:b/>
            <w:bCs/>
          </w:rPr>
          <w:t>On the Occasion of the Sigd Festival, November 11, 2020</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F45" w:rsidRPr="004243FD" w:rsidRDefault="00975F45" w:rsidP="00B006A0">
    <w:pPr>
      <w:pStyle w:val="firstpagefooter"/>
      <w:rPr>
        <w:b/>
        <w:bCs/>
        <w:sz w:val="24"/>
        <w:szCs w:val="24"/>
      </w:rPr>
    </w:pPr>
    <w:r w:rsidRPr="004243FD">
      <w:rPr>
        <w:b/>
        <w:bCs/>
        <w:sz w:val="24"/>
        <w:szCs w:val="24"/>
      </w:rPr>
      <w:t>For explanations and clarifications, please contact the</w:t>
    </w:r>
    <w:r w:rsidRPr="004243FD">
      <w:rPr>
        <w:b/>
        <w:bCs/>
        <w:sz w:val="24"/>
        <w:szCs w:val="24"/>
      </w:rPr>
      <w:br/>
      <w:t>Statistical Information Center at +972-2-659-2666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1AF8" w:rsidRPr="00CF7EE0" w:rsidRDefault="00D41AF8" w:rsidP="00975F45">
      <w:r w:rsidRPr="00CF7EE0">
        <w:separator/>
      </w:r>
    </w:p>
  </w:footnote>
  <w:footnote w:type="continuationSeparator" w:id="0">
    <w:p w:rsidR="00D41AF8" w:rsidRDefault="00D41AF8" w:rsidP="00975F45">
      <w:r>
        <w:continuationSeparator/>
      </w:r>
    </w:p>
  </w:footnote>
  <w:footnote w:id="1">
    <w:p w:rsidR="00975F45" w:rsidRPr="00DB5CB5" w:rsidRDefault="00975F45" w:rsidP="00DB5CB5">
      <w:pPr>
        <w:pStyle w:val="FootnoteText"/>
      </w:pPr>
      <w:r w:rsidRPr="00232600">
        <w:rPr>
          <w:rStyle w:val="FootnoteReference"/>
          <w:szCs w:val="24"/>
        </w:rPr>
        <w:footnoteRef/>
      </w:r>
      <w:r w:rsidRPr="00232600">
        <w:t xml:space="preserve"> </w:t>
      </w:r>
      <w:r>
        <w:t>Unless otherwise stated, Ethiopian origin refers to a person born in Ethiopia, or a person born in Israel whose father was born in Ethiopia.</w:t>
      </w:r>
    </w:p>
  </w:footnote>
  <w:footnote w:id="2">
    <w:p w:rsidR="00975F45" w:rsidRDefault="00975F45" w:rsidP="00695A74">
      <w:pPr>
        <w:pStyle w:val="FootnoteText"/>
        <w:spacing w:before="0"/>
        <w:ind w:left="176" w:hanging="176"/>
      </w:pPr>
      <w:r w:rsidRPr="008A6C07">
        <w:rPr>
          <w:rStyle w:val="FootnoteReference"/>
          <w:szCs w:val="24"/>
        </w:rPr>
        <w:footnoteRef/>
      </w:r>
      <w:r w:rsidRPr="008A6C07">
        <w:t xml:space="preserve"> </w:t>
      </w:r>
      <w:r>
        <w:t xml:space="preserve">Not including the Open University, which has unique characteristics that </w:t>
      </w:r>
      <w:r w:rsidRPr="00363166">
        <w:t>distinguish</w:t>
      </w:r>
      <w:r>
        <w:t xml:space="preserve"> it from the other institutions of higher education in Israel. </w:t>
      </w:r>
      <w:r w:rsidRPr="00C05D94">
        <w:t>This is reflected in the</w:t>
      </w:r>
      <w:r w:rsidRPr="007269B2">
        <w:rPr>
          <w:color w:val="000000"/>
        </w:rPr>
        <w:t xml:space="preserve"> </w:t>
      </w:r>
      <w:r w:rsidRPr="00363166">
        <w:t>policy of open admission to first degree studies (without pre-requisites)</w:t>
      </w:r>
      <w:r>
        <w:t xml:space="preserve">, the courses of study, as well as the </w:t>
      </w:r>
      <w:r w:rsidRPr="00C05D94">
        <w:t>composition</w:t>
      </w:r>
      <w:r>
        <w:t xml:space="preserve"> of the student population. However, t</w:t>
      </w:r>
      <w:r w:rsidRPr="00363166">
        <w:t>he aim is to include the Open University in the current statistics on higher education institutions while taking the distinctive characteristics of this institution into consideration.</w:t>
      </w:r>
    </w:p>
  </w:footnote>
  <w:footnote w:id="3">
    <w:p w:rsidR="00975F45" w:rsidRPr="00E05A48" w:rsidRDefault="00975F45" w:rsidP="00DB5CB5">
      <w:pPr>
        <w:pStyle w:val="FootnoteText"/>
      </w:pPr>
      <w:r w:rsidRPr="00E05A48">
        <w:rPr>
          <w:rStyle w:val="FootnoteReference"/>
          <w:szCs w:val="24"/>
        </w:rPr>
        <w:footnoteRef/>
      </w:r>
      <w:r w:rsidRPr="00E05A48">
        <w:t xml:space="preserve"> </w:t>
      </w:r>
      <w:r>
        <w:t>A household in which the head of the household or one of his or her parents was born in Ethiopia.</w:t>
      </w:r>
    </w:p>
  </w:footnote>
  <w:footnote w:id="4">
    <w:p w:rsidR="00975F45" w:rsidRPr="00E05A48" w:rsidRDefault="00975F45" w:rsidP="00DB5CB5">
      <w:pPr>
        <w:pStyle w:val="FootnoteText"/>
      </w:pPr>
      <w:r w:rsidRPr="00E05A48">
        <w:rPr>
          <w:rStyle w:val="FootnoteReference"/>
          <w:szCs w:val="24"/>
        </w:rPr>
        <w:footnoteRef/>
      </w:r>
      <w:r w:rsidRPr="00E05A48">
        <w:t xml:space="preserve"> </w:t>
      </w:r>
      <w:r w:rsidRPr="00BD3FF0">
        <w:t xml:space="preserve">Money expenditure: </w:t>
      </w:r>
      <w:r>
        <w:t>c</w:t>
      </w:r>
      <w:r w:rsidRPr="00BD3FF0">
        <w:t>onsumption expenditure</w:t>
      </w:r>
      <w:r>
        <w:t xml:space="preserve">, </w:t>
      </w:r>
      <w:r w:rsidRPr="00BD3FF0">
        <w:t>excluding imputation for housing services.</w:t>
      </w:r>
    </w:p>
  </w:footnote>
  <w:footnote w:id="5">
    <w:p w:rsidR="00975F45" w:rsidRPr="00101C36" w:rsidRDefault="00975F45" w:rsidP="00782A54">
      <w:pPr>
        <w:pStyle w:val="FootnoteText"/>
      </w:pPr>
      <w:r w:rsidRPr="00623205">
        <w:rPr>
          <w:rStyle w:val="FootnoteReference"/>
        </w:rPr>
        <w:footnoteRef/>
      </w:r>
      <w:r w:rsidRPr="00623205">
        <w:t xml:space="preserve"> The neighborhood with the highest percentage of residents of Ethiopian origin out of the total population was the Paz neighborhood in Kiryat Gat (56.5%), but 300 residents of Ethiopian origin live there.</w:t>
      </w:r>
    </w:p>
  </w:footnote>
  <w:footnote w:id="6">
    <w:p w:rsidR="00975F45" w:rsidRDefault="00975F45" w:rsidP="00DB5CB5">
      <w:pPr>
        <w:pStyle w:val="FootnoteText"/>
      </w:pPr>
      <w:r w:rsidRPr="00032DEC">
        <w:rPr>
          <w:rStyle w:val="FootnoteReference"/>
        </w:rPr>
        <w:footnoteRef/>
      </w:r>
      <w:r w:rsidRPr="00032DEC">
        <w:t xml:space="preserve"> The source of the data is the Population Register. The data do not include marriages performed abroad or alternative marriages of Jews performed in Israel outside of the Orthodox Jewish framework.</w:t>
      </w:r>
    </w:p>
  </w:footnote>
  <w:footnote w:id="7">
    <w:p w:rsidR="00975F45" w:rsidRPr="00BD3FF0" w:rsidRDefault="00975F45" w:rsidP="00DB5CB5">
      <w:pPr>
        <w:pStyle w:val="FootnoteText"/>
      </w:pPr>
      <w:r w:rsidRPr="00BD3FF0">
        <w:rPr>
          <w:rStyle w:val="FootnoteReference"/>
          <w:szCs w:val="24"/>
        </w:rPr>
        <w:footnoteRef/>
      </w:r>
      <w:r w:rsidRPr="00BD3FF0">
        <w:t xml:space="preserve"> The source of data is the Labour Force Survey. The data for the overall population and the population of Jews and Others are for 201</w:t>
      </w:r>
      <w:r>
        <w:t>9</w:t>
      </w:r>
      <w:r w:rsidRPr="00BD3FF0">
        <w:t xml:space="preserve">. The data for the </w:t>
      </w:r>
      <w:r>
        <w:t>population of Ethiopian origin</w:t>
      </w:r>
      <w:r w:rsidRPr="00BD3FF0">
        <w:t xml:space="preserve"> are the average for 201</w:t>
      </w:r>
      <w:r>
        <w:t>7-</w:t>
      </w:r>
      <w:r w:rsidRPr="00BD3FF0">
        <w:t>201</w:t>
      </w:r>
      <w:r>
        <w:t>9</w:t>
      </w:r>
      <w:r w:rsidRPr="00BD3FF0">
        <w:t xml:space="preserve">. The population does not include </w:t>
      </w:r>
      <w:r>
        <w:t xml:space="preserve">persons living in </w:t>
      </w:r>
      <w:r w:rsidRPr="00BD3FF0">
        <w:t>institutions, kibbutzim, student dormitories, and those living</w:t>
      </w:r>
      <w:r>
        <w:t xml:space="preserve"> outside of localities (Bedouins</w:t>
      </w:r>
      <w:r w:rsidRPr="00BD3FF0">
        <w:t xml:space="preserve"> in the </w:t>
      </w:r>
      <w:r>
        <w:t>s</w:t>
      </w:r>
      <w:r w:rsidRPr="00BD3FF0">
        <w:t>outh).</w:t>
      </w:r>
    </w:p>
  </w:footnote>
  <w:footnote w:id="8">
    <w:p w:rsidR="00975F45" w:rsidRPr="00BD3FF0" w:rsidRDefault="00975F45" w:rsidP="00DB5CB5">
      <w:pPr>
        <w:pStyle w:val="FootnoteText"/>
      </w:pPr>
      <w:r w:rsidRPr="00BD3FF0">
        <w:rPr>
          <w:rStyle w:val="FootnoteReference"/>
          <w:szCs w:val="24"/>
        </w:rPr>
        <w:footnoteRef/>
      </w:r>
      <w:r w:rsidRPr="00BD3FF0">
        <w:t xml:space="preserve"> A household is defined as one person or a group of persons living together in one dwelling on a permanent basis most of the week, who have a joint expense budget for food. A household can include persons who are not related to each other.</w:t>
      </w:r>
    </w:p>
    <w:p w:rsidR="00975F45" w:rsidRPr="00BD3FF0" w:rsidRDefault="00975F45" w:rsidP="00DB5CB5">
      <w:pPr>
        <w:pStyle w:val="fnindent"/>
      </w:pPr>
      <w:r>
        <w:t>A</w:t>
      </w:r>
      <w:r w:rsidRPr="0039594B">
        <w:t xml:space="preserve"> </w:t>
      </w:r>
      <w:r w:rsidRPr="00BD3FF0">
        <w:t>household</w:t>
      </w:r>
      <w:r>
        <w:t xml:space="preserve"> of persons of</w:t>
      </w:r>
      <w:r w:rsidRPr="00BD3FF0">
        <w:t xml:space="preserve"> Ethiopian </w:t>
      </w:r>
      <w:r>
        <w:t xml:space="preserve">origin </w:t>
      </w:r>
      <w:r w:rsidRPr="00BD3FF0">
        <w:t xml:space="preserve">was defined as a household in which at least one person aged 15 or over is </w:t>
      </w:r>
      <w:r>
        <w:t xml:space="preserve">of </w:t>
      </w:r>
      <w:r w:rsidRPr="00BD3FF0">
        <w:t>Ethiopian</w:t>
      </w:r>
      <w:r>
        <w:t xml:space="preserve"> origin</w:t>
      </w:r>
      <w:r w:rsidRPr="00BD3FF0">
        <w:t xml:space="preserve"> (i.e., Ethiopian-born or whose father was born in Ethiopia).</w:t>
      </w:r>
    </w:p>
  </w:footnote>
  <w:footnote w:id="9">
    <w:p w:rsidR="00975F45" w:rsidRPr="00BD3FF0" w:rsidRDefault="00975F45" w:rsidP="00DB5CB5">
      <w:pPr>
        <w:pStyle w:val="FootnoteText"/>
      </w:pPr>
      <w:r w:rsidRPr="00BD3FF0">
        <w:rPr>
          <w:rStyle w:val="FootnoteReference"/>
          <w:szCs w:val="24"/>
        </w:rPr>
        <w:footnoteRef/>
      </w:r>
      <w:r w:rsidRPr="00BD3FF0">
        <w:t xml:space="preserve"> A family household is a household that contains at least one family. A family household can include: one family, one family with other persons, or two families or more.</w:t>
      </w:r>
    </w:p>
  </w:footnote>
  <w:footnote w:id="10">
    <w:p w:rsidR="00975F45" w:rsidRDefault="00975F45" w:rsidP="005623A7">
      <w:pPr>
        <w:pStyle w:val="FootnoteText"/>
      </w:pPr>
      <w:r w:rsidRPr="00AD51CA">
        <w:rPr>
          <w:rStyle w:val="FootnoteReference"/>
          <w:szCs w:val="24"/>
        </w:rPr>
        <w:footnoteRef/>
      </w:r>
      <w:r w:rsidRPr="00AD51CA">
        <w:t xml:space="preserve"> A nuclear family of two persons or more who share the same household and are related to one another as husband and wife, as an unmarried couple (incl. same-sex couples), or as parent and child (including an adopted child). Thus, a family can be only a couple, a couple with children (in various age groups, defined by the age of the youngest child), or a </w:t>
      </w:r>
      <w:r>
        <w:t>lone</w:t>
      </w:r>
      <w:r w:rsidRPr="00AD51CA">
        <w:t xml:space="preserve"> parent with children (lone parent family). A family also includes a family of grandparents with grandchildren without parents, or only siblings who live together without spouses or children.</w:t>
      </w:r>
    </w:p>
    <w:p w:rsidR="00975F45" w:rsidRPr="00AD51CA" w:rsidRDefault="00975F45" w:rsidP="00FB28F9">
      <w:pPr>
        <w:pStyle w:val="fn2"/>
      </w:pPr>
      <w:r>
        <w:t>A family of persons of Ethiopian origin is considered a family if at least one member, aged 15 or over, is of Ethiopian origin, meaning that he or she was born in Ethiopia or that his or her father was born in Ethiopia.</w:t>
      </w:r>
    </w:p>
  </w:footnote>
  <w:footnote w:id="11">
    <w:p w:rsidR="00975F45" w:rsidRDefault="00975F45" w:rsidP="00DB5CB5">
      <w:pPr>
        <w:pStyle w:val="FootnoteText"/>
      </w:pPr>
      <w:r>
        <w:rPr>
          <w:rStyle w:val="FootnoteReference"/>
        </w:rPr>
        <w:footnoteRef/>
      </w:r>
      <w:r>
        <w:t xml:space="preserve"> The method for calculating technological/vocational education (known in the past as the technology track) was changed as of 2016/17, and was updated to reflect the current definitions of the Ministry of Education.</w:t>
      </w:r>
    </w:p>
  </w:footnote>
  <w:footnote w:id="12">
    <w:p w:rsidR="00975F45" w:rsidRPr="00BD3FF0" w:rsidRDefault="00975F45" w:rsidP="00DB5CB5">
      <w:pPr>
        <w:pStyle w:val="FootnoteText"/>
      </w:pPr>
      <w:r w:rsidRPr="00BD3FF0">
        <w:rPr>
          <w:rStyle w:val="FootnoteReference"/>
          <w:szCs w:val="24"/>
        </w:rPr>
        <w:footnoteRef/>
      </w:r>
      <w:r w:rsidRPr="00BD3FF0">
        <w:t xml:space="preserve"> In order to allow for a valid comparison between </w:t>
      </w:r>
      <w:r>
        <w:t>students</w:t>
      </w:r>
      <w:r w:rsidRPr="0031203B">
        <w:t xml:space="preserve"> </w:t>
      </w:r>
      <w:r>
        <w:t xml:space="preserve">of </w:t>
      </w:r>
      <w:r w:rsidRPr="0031203B">
        <w:t xml:space="preserve">Ethiopian </w:t>
      </w:r>
      <w:r>
        <w:t>origin</w:t>
      </w:r>
      <w:r w:rsidRPr="00BD3FF0">
        <w:t xml:space="preserve"> and all </w:t>
      </w:r>
      <w:r>
        <w:t>students</w:t>
      </w:r>
      <w:r w:rsidRPr="00BD3FF0">
        <w:t xml:space="preserve"> in Hebrew education, the population of </w:t>
      </w:r>
      <w:r>
        <w:t>students</w:t>
      </w:r>
      <w:r w:rsidRPr="00BD3FF0">
        <w:t xml:space="preserve"> examined in this section excludes those enrolled in schools under </w:t>
      </w:r>
      <w:r>
        <w:t>U</w:t>
      </w:r>
      <w:r w:rsidRPr="00BD3FF0">
        <w:t>ltra-Orthodox supervision (</w:t>
      </w:r>
      <w:r>
        <w:t>students</w:t>
      </w:r>
      <w:r w:rsidRPr="0031203B">
        <w:t xml:space="preserve"> </w:t>
      </w:r>
      <w:r>
        <w:t xml:space="preserve">of </w:t>
      </w:r>
      <w:r w:rsidRPr="0031203B">
        <w:t xml:space="preserve">Ethiopian </w:t>
      </w:r>
      <w:r>
        <w:t>origin</w:t>
      </w:r>
      <w:r w:rsidRPr="00BD3FF0">
        <w:t xml:space="preserve"> as well</w:t>
      </w:r>
      <w:r>
        <w:t xml:space="preserve"> as </w:t>
      </w:r>
      <w:r w:rsidRPr="00BD3FF0">
        <w:t>those enrolled in Hebrew education in general).</w:t>
      </w:r>
    </w:p>
  </w:footnote>
  <w:footnote w:id="13">
    <w:p w:rsidR="00975F45" w:rsidRDefault="00975F45" w:rsidP="00D5051D">
      <w:pPr>
        <w:pStyle w:val="FootnoteText"/>
      </w:pPr>
      <w:r>
        <w:rPr>
          <w:rStyle w:val="FootnoteReference"/>
        </w:rPr>
        <w:footnoteRef/>
      </w:r>
      <w:r>
        <w:t xml:space="preserve"> Ethiopian-born and Israeli-born students (with one or both parents born in Ethiopia).</w:t>
      </w:r>
    </w:p>
  </w:footnote>
  <w:footnote w:id="14">
    <w:p w:rsidR="00975F45" w:rsidRPr="00005B93" w:rsidRDefault="00975F45" w:rsidP="00592220">
      <w:pPr>
        <w:pStyle w:val="FootnoteText"/>
      </w:pPr>
      <w:r w:rsidRPr="00C05D94">
        <w:rPr>
          <w:rStyle w:val="FootnoteReference"/>
          <w:szCs w:val="24"/>
        </w:rPr>
        <w:footnoteRef/>
      </w:r>
      <w:r w:rsidRPr="00C05D94">
        <w:t xml:space="preserve"> </w:t>
      </w:r>
      <w:r>
        <w:t xml:space="preserve">Not including the Open University, which has unique characteristics that </w:t>
      </w:r>
      <w:r w:rsidRPr="00363166">
        <w:t>distinguish</w:t>
      </w:r>
      <w:r>
        <w:t xml:space="preserve"> it from the other institutions of higher education in Israel. </w:t>
      </w:r>
      <w:r w:rsidRPr="00C05D94">
        <w:t>This is reflected in the</w:t>
      </w:r>
      <w:r w:rsidRPr="007269B2">
        <w:rPr>
          <w:color w:val="000000"/>
        </w:rPr>
        <w:t xml:space="preserve"> </w:t>
      </w:r>
      <w:r w:rsidRPr="00363166">
        <w:t>policy of open admission to first degree studies (without pre-requisites)</w:t>
      </w:r>
      <w:r>
        <w:t xml:space="preserve">, the courses of study, as well as the </w:t>
      </w:r>
      <w:r w:rsidRPr="00C05D94">
        <w:t>composition</w:t>
      </w:r>
      <w:r>
        <w:t xml:space="preserve"> of the student population. However, t</w:t>
      </w:r>
      <w:r w:rsidRPr="00363166">
        <w:t xml:space="preserve">he aim is to include the Open University in the current statistics on higher education institutions while taking </w:t>
      </w:r>
      <w:r>
        <w:t>this institution’s</w:t>
      </w:r>
      <w:r w:rsidRPr="00363166">
        <w:t xml:space="preserve"> distinctive characteristics into consideration.</w:t>
      </w:r>
    </w:p>
  </w:footnote>
  <w:footnote w:id="15">
    <w:p w:rsidR="00975F45" w:rsidRDefault="00975F45" w:rsidP="00864512">
      <w:pPr>
        <w:pStyle w:val="FootnoteText"/>
      </w:pPr>
      <w:r w:rsidRPr="00BD3FF0">
        <w:rPr>
          <w:rStyle w:val="FootnoteReference"/>
          <w:szCs w:val="24"/>
        </w:rPr>
        <w:footnoteRef/>
      </w:r>
      <w:r w:rsidRPr="00BD3FF0">
        <w:t xml:space="preserve"> </w:t>
      </w:r>
      <w:r>
        <w:t>The numbers include athletes aged 7–80 in both individual and team sports.</w:t>
      </w:r>
    </w:p>
    <w:p w:rsidR="00975F45" w:rsidRPr="00BD3FF0" w:rsidRDefault="00975F45" w:rsidP="00160DF6">
      <w:pPr>
        <w:pStyle w:val="fn2"/>
      </w:pPr>
      <w:r w:rsidRPr="00BD3FF0">
        <w:t xml:space="preserve">Two criteria determine whether an athlete is active: </w:t>
      </w:r>
      <w:r>
        <w:t>p</w:t>
      </w:r>
      <w:r w:rsidRPr="00BD3FF0">
        <w:t>articipating in a minimum number of competitions and an upper threshold of birth year (</w:t>
      </w:r>
      <w:r>
        <w:t xml:space="preserve">both of </w:t>
      </w:r>
      <w:r w:rsidRPr="00BD3FF0">
        <w:t>these are determined for each sport).</w:t>
      </w:r>
    </w:p>
  </w:footnote>
  <w:footnote w:id="16">
    <w:p w:rsidR="00975F45" w:rsidRPr="002A7C54" w:rsidRDefault="00975F45" w:rsidP="00F07039">
      <w:pPr>
        <w:pStyle w:val="FootnoteText"/>
        <w:ind w:left="227" w:hanging="227"/>
        <w:rPr>
          <w:rFonts w:asciiTheme="minorBidi" w:hAnsiTheme="minorBidi" w:cstheme="minorBidi"/>
        </w:rPr>
      </w:pPr>
      <w:r w:rsidRPr="002A7C54">
        <w:rPr>
          <w:rStyle w:val="FootnoteReference"/>
        </w:rPr>
        <w:footnoteRef/>
      </w:r>
      <w:r w:rsidRPr="002A7C54">
        <w:t xml:space="preserve"> </w:t>
      </w:r>
      <w:r w:rsidRPr="002A7C54">
        <w:rPr>
          <w:rFonts w:asciiTheme="minorBidi" w:hAnsiTheme="minorBidi" w:cstheme="minorBidi"/>
        </w:rPr>
        <w:t xml:space="preserve">The data presented in this section were processed at the CBS on the basis of files of frameworks and names of the </w:t>
      </w:r>
      <w:r w:rsidRPr="005E4DFD">
        <w:rPr>
          <w:rFonts w:asciiTheme="minorBidi" w:hAnsiTheme="minorBidi" w:cstheme="minorBidi"/>
        </w:rPr>
        <w:t>Ministry of Labor, Social Affairs and Social Services</w:t>
      </w:r>
      <w:r w:rsidRPr="002A7C54">
        <w:rPr>
          <w:rFonts w:asciiTheme="minorBidi" w:hAnsiTheme="minorBidi" w:cstheme="minorBidi"/>
        </w:rPr>
        <w:t>. The files include data on persons placed in out-of-home welfare frameworks and in community frameworks.</w:t>
      </w:r>
    </w:p>
  </w:footnote>
  <w:footnote w:id="17">
    <w:p w:rsidR="00975F45" w:rsidRPr="000164BA" w:rsidRDefault="00975F45" w:rsidP="002A7C54">
      <w:pPr>
        <w:pStyle w:val="FootnoteText"/>
        <w:ind w:left="227" w:hanging="227"/>
      </w:pPr>
      <w:r w:rsidRPr="00474127">
        <w:rPr>
          <w:rStyle w:val="FootnoteReference"/>
        </w:rPr>
        <w:footnoteRef/>
      </w:r>
      <w:r w:rsidRPr="00474127">
        <w:rPr>
          <w:rStyle w:val="FootnoteReference"/>
        </w:rPr>
        <w:t xml:space="preserve"> </w:t>
      </w:r>
      <w:r w:rsidRPr="00474127">
        <w:rPr>
          <w:rStyle w:val="FootnoteReference"/>
          <w:vertAlign w:val="baseline"/>
        </w:rPr>
        <w:t xml:space="preserve">A file is opened for every family or person who applies or referred to social departments, and </w:t>
      </w:r>
      <w:r w:rsidRPr="000164BA">
        <w:t>at least one family member must be defined as needing intervention.</w:t>
      </w:r>
    </w:p>
  </w:footnote>
  <w:footnote w:id="18">
    <w:p w:rsidR="00975F45" w:rsidRDefault="00975F45" w:rsidP="002A7C54">
      <w:pPr>
        <w:pStyle w:val="FootnoteText"/>
        <w:ind w:left="227" w:hanging="227"/>
      </w:pPr>
      <w:r>
        <w:rPr>
          <w:rStyle w:val="FootnoteReference"/>
        </w:rPr>
        <w:footnoteRef/>
      </w:r>
      <w:r>
        <w:t xml:space="preserve"> Excluding persons born in Ethiopia.</w:t>
      </w:r>
    </w:p>
  </w:footnote>
  <w:footnote w:id="19">
    <w:p w:rsidR="00975F45" w:rsidRDefault="00975F45" w:rsidP="002A7C54">
      <w:pPr>
        <w:pStyle w:val="FootnoteText"/>
        <w:ind w:left="227" w:hanging="227"/>
      </w:pPr>
      <w:r>
        <w:rPr>
          <w:rStyle w:val="FootnoteReference"/>
        </w:rPr>
        <w:footnoteRef/>
      </w:r>
      <w:r>
        <w:t xml:space="preserve"> Need for intervention: The reason an individual applies or is referred to a department of social services. The social worker treating the family lists, for each indivi</w:t>
      </w:r>
      <w:r w:rsidR="0098606A">
        <w:t>dual in the treatment file, the</w:t>
      </w:r>
      <w:r>
        <w:t xml:space="preserve"> primary need for intervention for each individual as well as the family’s primary need for intervention, from a list of 58 needs (including “no need for intervention”). The social worker can also list a secondary need for intervention for an individual or his or her family.</w:t>
      </w:r>
    </w:p>
  </w:footnote>
  <w:footnote w:id="20">
    <w:p w:rsidR="00975F45" w:rsidRDefault="00975F45" w:rsidP="00213EC6">
      <w:pPr>
        <w:pStyle w:val="FootnoteText"/>
      </w:pPr>
      <w:r w:rsidRPr="00C30F7E">
        <w:rPr>
          <w:rStyle w:val="FootnoteReference"/>
        </w:rPr>
        <w:footnoteRef/>
      </w:r>
      <w:r w:rsidRPr="00C30F7E">
        <w:t xml:space="preserve"> This need for intervention includes problems with the parent-child relationship, </w:t>
      </w:r>
      <w:r w:rsidRPr="004939AC">
        <w:t>dysfunctional mother or father, educational and behavioral problems of children, teenage</w:t>
      </w:r>
      <w:r w:rsidRPr="00C30F7E">
        <w:t xml:space="preserve"> girls in distress, abandoned children, etc.</w:t>
      </w:r>
    </w:p>
  </w:footnote>
  <w:footnote w:id="21">
    <w:p w:rsidR="00975F45" w:rsidRDefault="00975F45" w:rsidP="002A7C54">
      <w:pPr>
        <w:pStyle w:val="FootnoteText"/>
        <w:ind w:left="227" w:hanging="227"/>
      </w:pPr>
      <w:r w:rsidRPr="00C80721">
        <w:rPr>
          <w:rStyle w:val="FootnoteReference"/>
        </w:rPr>
        <w:footnoteRef/>
      </w:r>
      <w:r w:rsidRPr="00C80721">
        <w:t xml:space="preserve"> The data presented in this section were processed at the CBS on the basis of files of settings and placements of the Ministry of Labour, Social Affairs and Social Services. The files include data on </w:t>
      </w:r>
      <w:r>
        <w:t>persons</w:t>
      </w:r>
      <w:r w:rsidRPr="00C80721">
        <w:t xml:space="preserve"> who were placed in out-of-home and community settings.</w:t>
      </w:r>
    </w:p>
  </w:footnote>
  <w:footnote w:id="22">
    <w:p w:rsidR="00975F45" w:rsidRPr="007F2908" w:rsidRDefault="00975F45" w:rsidP="007F2908">
      <w:pPr>
        <w:pStyle w:val="FootnoteText"/>
        <w:ind w:left="227" w:hanging="227"/>
        <w:rPr>
          <w:rFonts w:asciiTheme="minorBidi" w:hAnsiTheme="minorBidi" w:cstheme="minorBidi"/>
        </w:rPr>
      </w:pPr>
      <w:r w:rsidRPr="007F2908">
        <w:rPr>
          <w:rStyle w:val="FootnoteReference"/>
        </w:rPr>
        <w:footnoteRef/>
      </w:r>
      <w:r w:rsidRPr="007F2908">
        <w:t xml:space="preserve"> </w:t>
      </w:r>
      <w:r w:rsidR="00DF0953">
        <w:rPr>
          <w:rFonts w:asciiTheme="minorBidi" w:hAnsiTheme="minorBidi" w:cstheme="minorBidi"/>
        </w:rPr>
        <w:t xml:space="preserve">A person who is unable to </w:t>
      </w:r>
      <w:r w:rsidRPr="007F2908">
        <w:rPr>
          <w:rFonts w:asciiTheme="minorBidi" w:hAnsiTheme="minorBidi" w:cstheme="minorBidi"/>
        </w:rPr>
        <w:t>live with his family due to his own exposure or exposure of his family to situations of distress and risk. Examples of out-of-home placement: foster families, shelters, boarding schools, emergency centers, nursing home.</w:t>
      </w:r>
    </w:p>
  </w:footnote>
  <w:footnote w:id="23">
    <w:p w:rsidR="00975F45" w:rsidRPr="004E615B" w:rsidRDefault="00975F45" w:rsidP="00FF129B">
      <w:pPr>
        <w:pStyle w:val="FootnoteText"/>
        <w:ind w:left="227" w:hanging="227"/>
      </w:pPr>
      <w:r w:rsidRPr="004E615B">
        <w:rPr>
          <w:rStyle w:val="FootnoteReference"/>
        </w:rPr>
        <w:footnoteRef/>
      </w:r>
      <w:r w:rsidRPr="004E615B">
        <w:t xml:space="preserve"> </w:t>
      </w:r>
      <w:r w:rsidRPr="004E615B">
        <w:rPr>
          <w:rFonts w:asciiTheme="minorBidi" w:eastAsiaTheme="minorHAnsi" w:hAnsiTheme="minorBidi" w:cstheme="minorBidi"/>
        </w:rPr>
        <w:t xml:space="preserve">A person who continues living with his natural family, and who receives community services and support </w:t>
      </w:r>
      <w:r w:rsidRPr="004E615B">
        <w:rPr>
          <w:rFonts w:asciiTheme="minorBidi" w:hAnsiTheme="minorBidi" w:cstheme="minorBidi"/>
        </w:rPr>
        <w:t xml:space="preserve">in accordance with the </w:t>
      </w:r>
      <w:r w:rsidRPr="004E615B">
        <w:rPr>
          <w:rFonts w:eastAsiaTheme="minorHAnsi" w:cs="Arial"/>
        </w:rPr>
        <w:t>"Looking Towards the Community"</w:t>
      </w:r>
      <w:r w:rsidRPr="004E615B">
        <w:rPr>
          <w:rFonts w:asciiTheme="minorBidi" w:hAnsiTheme="minorBidi" w:cstheme="minorBidi"/>
          <w:sz w:val="32"/>
          <w:szCs w:val="32"/>
        </w:rPr>
        <w:t xml:space="preserve"> </w:t>
      </w:r>
      <w:r w:rsidRPr="004E615B">
        <w:rPr>
          <w:rFonts w:asciiTheme="minorBidi" w:hAnsiTheme="minorBidi" w:cstheme="minorBidi"/>
        </w:rPr>
        <w:t xml:space="preserve">policy of the </w:t>
      </w:r>
      <w:r w:rsidRPr="005E4DFD">
        <w:rPr>
          <w:rFonts w:asciiTheme="minorBidi" w:hAnsiTheme="minorBidi" w:cstheme="minorBidi"/>
        </w:rPr>
        <w:t>Ministry of Labor, Social Affairs and Social Services</w:t>
      </w:r>
      <w:r w:rsidRPr="004E615B">
        <w:rPr>
          <w:rFonts w:asciiTheme="minorBidi" w:eastAsiaTheme="minorHAnsi" w:hAnsiTheme="minorBidi" w:cstheme="minorBidi"/>
        </w:rPr>
        <w:t xml:space="preserve">. Examples of community settings are: day care centers, after-school child care programs, </w:t>
      </w:r>
      <w:r w:rsidRPr="004E615B">
        <w:rPr>
          <w:rFonts w:asciiTheme="minorBidi" w:hAnsiTheme="minorBidi" w:cstheme="minorBidi"/>
        </w:rPr>
        <w:t>day care in a home setting</w:t>
      </w:r>
      <w:r w:rsidRPr="004E615B">
        <w:rPr>
          <w:rFonts w:asciiTheme="minorBidi" w:eastAsiaTheme="minorHAnsi" w:hAnsiTheme="minorBidi" w:cstheme="minorBidi"/>
        </w:rPr>
        <w:t>, parent and child centers, and centers for the prevention of violence.</w:t>
      </w:r>
    </w:p>
  </w:footnote>
  <w:footnote w:id="24">
    <w:p w:rsidR="00975F45" w:rsidRDefault="00975F45" w:rsidP="00802EF0">
      <w:pPr>
        <w:pStyle w:val="FootnoteText"/>
      </w:pPr>
      <w:r w:rsidRPr="00711969">
        <w:rPr>
          <w:rStyle w:val="FootnoteReference"/>
        </w:rPr>
        <w:footnoteRef/>
      </w:r>
      <w:r w:rsidRPr="00711969">
        <w:t xml:space="preserve"> A person who has been recognized by the Ministry of Labour, Social Affairs and Social Services as having total lack of vision or as having maximal visual acuity of 3/60 in his/her good eye (after correcting the vision with glasses, surgery, an implant, etc.), or as having a field of vision of up to 20 degrees in the good eye (after correcting the vision with glasses, surgery, an implant, etc.), versus a normal field of vision </w:t>
      </w:r>
      <w:r>
        <w:t>of</w:t>
      </w:r>
      <w:r w:rsidRPr="00711969">
        <w:t xml:space="preserve"> 180 degrees. This recognition is expressed by </w:t>
      </w:r>
      <w:r>
        <w:t xml:space="preserve">the </w:t>
      </w:r>
      <w:r w:rsidRPr="00711969">
        <w:t xml:space="preserve">issuing </w:t>
      </w:r>
      <w:r>
        <w:t xml:space="preserve">of </w:t>
      </w:r>
      <w:r w:rsidRPr="00711969">
        <w:t xml:space="preserve">a certificate from the service that deals with </w:t>
      </w:r>
      <w:r>
        <w:t>persons</w:t>
      </w:r>
      <w:r w:rsidRPr="00711969">
        <w:t xml:space="preserve"> who have blindness at the Ministry of Labour, Social Affairs, and Social Services. Holders of a certificate of Blindness are entitled to rehabilitation services and benefits.</w:t>
      </w:r>
    </w:p>
  </w:footnote>
  <w:footnote w:id="25">
    <w:p w:rsidR="00975F45" w:rsidRPr="00A847E2" w:rsidRDefault="00975F45" w:rsidP="00F9644F">
      <w:pPr>
        <w:pStyle w:val="FootnoteText"/>
        <w:ind w:left="227" w:hanging="227"/>
        <w:rPr>
          <w:rFonts w:asciiTheme="minorBidi" w:hAnsiTheme="minorBidi" w:cstheme="minorBidi"/>
          <w:rtl/>
        </w:rPr>
      </w:pPr>
      <w:r>
        <w:rPr>
          <w:rStyle w:val="FootnoteReference"/>
        </w:rPr>
        <w:footnoteRef/>
      </w:r>
      <w:r>
        <w:t xml:space="preserve"> </w:t>
      </w:r>
      <w:r w:rsidRPr="00A847E2">
        <w:t>The statistics are based upon the Israel Police’s Criminal Register, and are up to date as of May 2020. The data for the year of verdict 2018 are preliminary.</w:t>
      </w:r>
    </w:p>
  </w:footnote>
  <w:footnote w:id="26">
    <w:p w:rsidR="00975F45" w:rsidRPr="00BD3FF0" w:rsidRDefault="00975F45" w:rsidP="001C7D67">
      <w:pPr>
        <w:pStyle w:val="FootnoteText"/>
        <w:ind w:left="227" w:hanging="227"/>
      </w:pPr>
      <w:r w:rsidRPr="00BD3FF0">
        <w:rPr>
          <w:rStyle w:val="FootnoteReference"/>
          <w:szCs w:val="24"/>
        </w:rPr>
        <w:footnoteRef/>
      </w:r>
      <w:r w:rsidRPr="00BD3FF0">
        <w:t xml:space="preserve"> A household in which the head of the household or one of his</w:t>
      </w:r>
      <w:r>
        <w:t xml:space="preserve"> or her</w:t>
      </w:r>
      <w:r w:rsidRPr="00BD3FF0">
        <w:t xml:space="preserve"> parents was born in Ethiopia.</w:t>
      </w:r>
    </w:p>
  </w:footnote>
  <w:footnote w:id="27">
    <w:p w:rsidR="00975F45" w:rsidRPr="00BD3FF0" w:rsidRDefault="00975F45" w:rsidP="00DB5CB5">
      <w:pPr>
        <w:pStyle w:val="FootnoteText"/>
      </w:pPr>
      <w:r w:rsidRPr="00BD3FF0">
        <w:rPr>
          <w:rStyle w:val="FootnoteReference"/>
          <w:szCs w:val="24"/>
        </w:rPr>
        <w:footnoteRef/>
      </w:r>
      <w:r w:rsidRPr="00BD3FF0">
        <w:t xml:space="preserve"> As of 2012, the number of earners also includes soldiers in compulsory service.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F45" w:rsidRPr="00DE3689" w:rsidRDefault="00975F45" w:rsidP="00672E3C">
    <w:pPr>
      <w:pStyle w:val="Header"/>
      <w:bidi w:val="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A74" w:rsidRPr="00C51E33" w:rsidRDefault="00695A74" w:rsidP="00695A74">
    <w:pPr>
      <w:pStyle w:val="Header"/>
      <w:bidi w:val="0"/>
      <w:rPr>
        <w:rFonts w:ascii="Arial" w:hAnsi="Arial" w:cs="Arial"/>
        <w:szCs w:val="24"/>
        <w:rtl/>
      </w:rPr>
    </w:pPr>
    <w:r>
      <w:rPr>
        <w:rFonts w:ascii="Arial" w:hAnsi="Arial" w:cs="Arial"/>
        <w:noProof/>
        <w:szCs w:val="24"/>
        <w:lang w:eastAsia="en-US"/>
      </w:rPr>
      <w:drawing>
        <wp:inline distT="0" distB="0" distL="0" distR="0" wp14:anchorId="05FFD78E" wp14:editId="42FD1490">
          <wp:extent cx="1140460" cy="1045845"/>
          <wp:effectExtent l="0" t="0" r="2540" b="1905"/>
          <wp:docPr id="2" name="Picture 2" descr="logo central bureau of ststistics" title="logo central bureau of ststis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mas+eng&amp;ara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40460" cy="1045845"/>
                  </a:xfrm>
                  <a:prstGeom prst="rect">
                    <a:avLst/>
                  </a:prstGeom>
                  <a:noFill/>
                  <a:ln>
                    <a:noFill/>
                  </a:ln>
                </pic:spPr>
              </pic:pic>
            </a:graphicData>
          </a:graphic>
        </wp:inline>
      </w:drawing>
    </w:r>
    <w:r>
      <w:rPr>
        <w:rFonts w:ascii="Arial" w:hAnsi="Arial" w:cs="Arial"/>
        <w:szCs w:val="24"/>
      </w:rPr>
      <w:tab/>
    </w:r>
    <w:r>
      <w:rPr>
        <w:rFonts w:ascii="Arial" w:hAnsi="Arial" w:cs="Arial"/>
        <w:szCs w:val="24"/>
      </w:rPr>
      <w:tab/>
      <w:t>State of Israel</w:t>
    </w:r>
  </w:p>
  <w:p w:rsidR="00695A74" w:rsidRPr="00591DDE" w:rsidRDefault="00695A74" w:rsidP="00695A74">
    <w:pPr>
      <w:pStyle w:val="Header"/>
      <w:bidi w:val="0"/>
      <w:jc w:val="center"/>
      <w:rPr>
        <w:rFonts w:ascii="Arial" w:hAnsi="Arial" w:cs="Guttman Hatzvi"/>
        <w:color w:val="000080"/>
        <w:sz w:val="56"/>
        <w:szCs w:val="56"/>
        <w:rtl/>
        <w14:shadow w14:blurRad="50800" w14:dist="38100" w14:dir="2700000" w14:sx="100000" w14:sy="100000" w14:kx="0" w14:ky="0" w14:algn="tl">
          <w14:srgbClr w14:val="000000">
            <w14:alpha w14:val="60000"/>
          </w14:srgbClr>
        </w14:shadow>
      </w:rPr>
    </w:pPr>
    <w:r w:rsidRPr="00591DDE">
      <w:rPr>
        <w:rFonts w:ascii="Arial" w:hAnsi="Arial" w:cs="Guttman Hatzvi"/>
        <w:color w:val="000080"/>
        <w:sz w:val="56"/>
        <w:szCs w:val="56"/>
        <w14:shadow w14:blurRad="50800" w14:dist="38100" w14:dir="2700000" w14:sx="100000" w14:sy="100000" w14:kx="0" w14:ky="0" w14:algn="tl">
          <w14:srgbClr w14:val="000000">
            <w14:alpha w14:val="60000"/>
          </w14:srgbClr>
        </w14:shadow>
      </w:rPr>
      <w:t>Media Release</w:t>
    </w:r>
  </w:p>
  <w:p w:rsidR="00975F45" w:rsidRPr="004243FD" w:rsidRDefault="0069126C" w:rsidP="00695A74">
    <w:pPr>
      <w:pStyle w:val="Header"/>
      <w:bidi w:val="0"/>
      <w:jc w:val="center"/>
    </w:pPr>
    <w:hyperlink r:id="rId2" w:history="1">
      <w:r w:rsidR="00695A74" w:rsidRPr="00713D1E">
        <w:rPr>
          <w:rStyle w:val="Hyperlink"/>
          <w:rFonts w:ascii="Arial" w:hAnsi="Arial" w:cs="Arial"/>
          <w:szCs w:val="24"/>
        </w:rPr>
        <w:t>info@cbs.gov.il</w:t>
      </w:r>
    </w:hyperlink>
    <w:r w:rsidR="00695A74" w:rsidRPr="00713D1E">
      <w:rPr>
        <w:rFonts w:ascii="Arial" w:hAnsi="Arial" w:cs="Arial"/>
        <w:b w:val="0"/>
        <w:bCs w:val="0"/>
        <w:szCs w:val="24"/>
      </w:rPr>
      <w:t xml:space="preserve"> </w:t>
    </w:r>
    <w:hyperlink r:id="rId3" w:history="1">
      <w:r w:rsidR="00695A74" w:rsidRPr="00947E04">
        <w:rPr>
          <w:rStyle w:val="Hyperlink"/>
          <w:rFonts w:ascii="Arial" w:hAnsi="Arial" w:cs="Arial"/>
          <w:szCs w:val="24"/>
        </w:rPr>
        <w:t>www.cbs.gov.il</w:t>
      </w:r>
    </w:hyperlink>
    <w:r w:rsidR="00695A74" w:rsidRPr="00713D1E">
      <w:rPr>
        <w:rFonts w:ascii="Arial" w:hAnsi="Arial" w:cs="Arial"/>
        <w:b w:val="0"/>
        <w:bCs w:val="0"/>
        <w:szCs w:val="24"/>
      </w:rPr>
      <w:t xml:space="preserve"> Fax: 02-6521340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B543CCA"/>
    <w:lvl w:ilvl="0">
      <w:start w:val="1"/>
      <w:numFmt w:val="decimal"/>
      <w:lvlText w:val="%1."/>
      <w:lvlJc w:val="left"/>
      <w:pPr>
        <w:tabs>
          <w:tab w:val="num" w:pos="1492"/>
        </w:tabs>
        <w:ind w:left="1492" w:hanging="360"/>
      </w:pPr>
    </w:lvl>
  </w:abstractNum>
  <w:abstractNum w:abstractNumId="1">
    <w:nsid w:val="FFFFFF7D"/>
    <w:multiLevelType w:val="singleLevel"/>
    <w:tmpl w:val="74706D98"/>
    <w:lvl w:ilvl="0">
      <w:start w:val="1"/>
      <w:numFmt w:val="decimal"/>
      <w:lvlText w:val="%1."/>
      <w:lvlJc w:val="left"/>
      <w:pPr>
        <w:tabs>
          <w:tab w:val="num" w:pos="1209"/>
        </w:tabs>
        <w:ind w:left="1209" w:hanging="360"/>
      </w:pPr>
    </w:lvl>
  </w:abstractNum>
  <w:abstractNum w:abstractNumId="2">
    <w:nsid w:val="FFFFFF7E"/>
    <w:multiLevelType w:val="singleLevel"/>
    <w:tmpl w:val="B248E486"/>
    <w:lvl w:ilvl="0">
      <w:start w:val="1"/>
      <w:numFmt w:val="decimal"/>
      <w:lvlText w:val="%1."/>
      <w:lvlJc w:val="left"/>
      <w:pPr>
        <w:tabs>
          <w:tab w:val="num" w:pos="926"/>
        </w:tabs>
        <w:ind w:left="926" w:hanging="360"/>
      </w:pPr>
    </w:lvl>
  </w:abstractNum>
  <w:abstractNum w:abstractNumId="3">
    <w:nsid w:val="FFFFFF7F"/>
    <w:multiLevelType w:val="singleLevel"/>
    <w:tmpl w:val="C87CE62A"/>
    <w:lvl w:ilvl="0">
      <w:start w:val="1"/>
      <w:numFmt w:val="decimal"/>
      <w:lvlText w:val="%1."/>
      <w:lvlJc w:val="left"/>
      <w:pPr>
        <w:tabs>
          <w:tab w:val="num" w:pos="643"/>
        </w:tabs>
        <w:ind w:left="643" w:hanging="360"/>
      </w:pPr>
    </w:lvl>
  </w:abstractNum>
  <w:abstractNum w:abstractNumId="4">
    <w:nsid w:val="FFFFFF80"/>
    <w:multiLevelType w:val="singleLevel"/>
    <w:tmpl w:val="3ACACEB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7A6018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538A19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B70068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C24F404"/>
    <w:lvl w:ilvl="0">
      <w:start w:val="1"/>
      <w:numFmt w:val="decimal"/>
      <w:lvlText w:val="%1."/>
      <w:lvlJc w:val="left"/>
      <w:pPr>
        <w:tabs>
          <w:tab w:val="num" w:pos="360"/>
        </w:tabs>
        <w:ind w:left="360" w:hanging="360"/>
      </w:pPr>
    </w:lvl>
  </w:abstractNum>
  <w:abstractNum w:abstractNumId="9">
    <w:nsid w:val="FFFFFF89"/>
    <w:multiLevelType w:val="singleLevel"/>
    <w:tmpl w:val="DA1AA55A"/>
    <w:lvl w:ilvl="0">
      <w:start w:val="1"/>
      <w:numFmt w:val="bullet"/>
      <w:lvlText w:val=""/>
      <w:lvlJc w:val="left"/>
      <w:pPr>
        <w:tabs>
          <w:tab w:val="num" w:pos="360"/>
        </w:tabs>
        <w:ind w:left="360" w:hanging="360"/>
      </w:pPr>
      <w:rPr>
        <w:rFonts w:ascii="Symbol" w:hAnsi="Symbol" w:hint="default"/>
      </w:rPr>
    </w:lvl>
  </w:abstractNum>
  <w:abstractNum w:abstractNumId="10">
    <w:nsid w:val="02E779DD"/>
    <w:multiLevelType w:val="hybridMultilevel"/>
    <w:tmpl w:val="1F18673E"/>
    <w:lvl w:ilvl="0" w:tplc="128CFA96">
      <w:start w:val="1"/>
      <w:numFmt w:val="decimal"/>
      <w:lvlText w:val="(%1)"/>
      <w:lvlJc w:val="left"/>
      <w:pPr>
        <w:ind w:left="2520" w:hanging="360"/>
      </w:pPr>
      <w:rPr>
        <w:rFonts w:asciiTheme="minorBidi" w:hAnsiTheme="minorBidi" w:cstheme="minorBidi"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1">
    <w:nsid w:val="08083CAE"/>
    <w:multiLevelType w:val="hybridMultilevel"/>
    <w:tmpl w:val="AFA03EDA"/>
    <w:lvl w:ilvl="0" w:tplc="9C7A73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E4326E2"/>
    <w:multiLevelType w:val="hybridMultilevel"/>
    <w:tmpl w:val="0764DEB0"/>
    <w:lvl w:ilvl="0" w:tplc="A1E07EC6">
      <w:start w:val="1"/>
      <w:numFmt w:val="bullet"/>
      <w:pStyle w:val="Bulletsbodytex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9CE1110"/>
    <w:multiLevelType w:val="hybridMultilevel"/>
    <w:tmpl w:val="B074D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120614B"/>
    <w:multiLevelType w:val="hybridMultilevel"/>
    <w:tmpl w:val="29C25D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nsid w:val="355F47CD"/>
    <w:multiLevelType w:val="hybridMultilevel"/>
    <w:tmpl w:val="A73A0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70919C5"/>
    <w:multiLevelType w:val="hybridMultilevel"/>
    <w:tmpl w:val="1212AB90"/>
    <w:lvl w:ilvl="0" w:tplc="58005D20">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7">
    <w:nsid w:val="38DA3B26"/>
    <w:multiLevelType w:val="hybridMultilevel"/>
    <w:tmpl w:val="A9AA56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E200983"/>
    <w:multiLevelType w:val="hybridMultilevel"/>
    <w:tmpl w:val="17823B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2CD7893"/>
    <w:multiLevelType w:val="hybridMultilevel"/>
    <w:tmpl w:val="C0841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CDF4804"/>
    <w:multiLevelType w:val="hybridMultilevel"/>
    <w:tmpl w:val="3B6873AE"/>
    <w:lvl w:ilvl="0" w:tplc="22DE0B20">
      <w:start w:val="1"/>
      <w:numFmt w:val="decimal"/>
      <w:lvlText w:val="(%1)"/>
      <w:lvlJc w:val="left"/>
      <w:pPr>
        <w:ind w:left="2699" w:hanging="360"/>
      </w:pPr>
      <w:rPr>
        <w:rFonts w:hint="default"/>
      </w:rPr>
    </w:lvl>
    <w:lvl w:ilvl="1" w:tplc="04090019" w:tentative="1">
      <w:start w:val="1"/>
      <w:numFmt w:val="lowerLetter"/>
      <w:lvlText w:val="%2."/>
      <w:lvlJc w:val="left"/>
      <w:pPr>
        <w:ind w:left="3419" w:hanging="360"/>
      </w:pPr>
    </w:lvl>
    <w:lvl w:ilvl="2" w:tplc="0409001B" w:tentative="1">
      <w:start w:val="1"/>
      <w:numFmt w:val="lowerRoman"/>
      <w:lvlText w:val="%3."/>
      <w:lvlJc w:val="right"/>
      <w:pPr>
        <w:ind w:left="4139" w:hanging="180"/>
      </w:pPr>
    </w:lvl>
    <w:lvl w:ilvl="3" w:tplc="0409000F" w:tentative="1">
      <w:start w:val="1"/>
      <w:numFmt w:val="decimal"/>
      <w:lvlText w:val="%4."/>
      <w:lvlJc w:val="left"/>
      <w:pPr>
        <w:ind w:left="4859" w:hanging="360"/>
      </w:pPr>
    </w:lvl>
    <w:lvl w:ilvl="4" w:tplc="04090019" w:tentative="1">
      <w:start w:val="1"/>
      <w:numFmt w:val="lowerLetter"/>
      <w:lvlText w:val="%5."/>
      <w:lvlJc w:val="left"/>
      <w:pPr>
        <w:ind w:left="5579" w:hanging="360"/>
      </w:pPr>
    </w:lvl>
    <w:lvl w:ilvl="5" w:tplc="0409001B" w:tentative="1">
      <w:start w:val="1"/>
      <w:numFmt w:val="lowerRoman"/>
      <w:lvlText w:val="%6."/>
      <w:lvlJc w:val="right"/>
      <w:pPr>
        <w:ind w:left="6299" w:hanging="180"/>
      </w:pPr>
    </w:lvl>
    <w:lvl w:ilvl="6" w:tplc="0409000F" w:tentative="1">
      <w:start w:val="1"/>
      <w:numFmt w:val="decimal"/>
      <w:lvlText w:val="%7."/>
      <w:lvlJc w:val="left"/>
      <w:pPr>
        <w:ind w:left="7019" w:hanging="360"/>
      </w:pPr>
    </w:lvl>
    <w:lvl w:ilvl="7" w:tplc="04090019" w:tentative="1">
      <w:start w:val="1"/>
      <w:numFmt w:val="lowerLetter"/>
      <w:lvlText w:val="%8."/>
      <w:lvlJc w:val="left"/>
      <w:pPr>
        <w:ind w:left="7739" w:hanging="360"/>
      </w:pPr>
    </w:lvl>
    <w:lvl w:ilvl="8" w:tplc="0409001B" w:tentative="1">
      <w:start w:val="1"/>
      <w:numFmt w:val="lowerRoman"/>
      <w:lvlText w:val="%9."/>
      <w:lvlJc w:val="right"/>
      <w:pPr>
        <w:ind w:left="8459" w:hanging="180"/>
      </w:pPr>
    </w:lvl>
  </w:abstractNum>
  <w:abstractNum w:abstractNumId="21">
    <w:nsid w:val="52612738"/>
    <w:multiLevelType w:val="hybridMultilevel"/>
    <w:tmpl w:val="98FC9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9D80E5A"/>
    <w:multiLevelType w:val="hybridMultilevel"/>
    <w:tmpl w:val="2EB06FD0"/>
    <w:lvl w:ilvl="0" w:tplc="51466460">
      <w:start w:val="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45D0CE6"/>
    <w:multiLevelType w:val="hybridMultilevel"/>
    <w:tmpl w:val="08FC0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61C0A16"/>
    <w:multiLevelType w:val="hybridMultilevel"/>
    <w:tmpl w:val="1F18673E"/>
    <w:lvl w:ilvl="0" w:tplc="128CFA96">
      <w:start w:val="1"/>
      <w:numFmt w:val="decimal"/>
      <w:lvlText w:val="(%1)"/>
      <w:lvlJc w:val="left"/>
      <w:pPr>
        <w:ind w:left="2520" w:hanging="360"/>
      </w:pPr>
      <w:rPr>
        <w:rFonts w:asciiTheme="minorBidi" w:hAnsiTheme="minorBidi" w:cstheme="minorBidi"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5">
    <w:nsid w:val="6C7A6008"/>
    <w:multiLevelType w:val="hybridMultilevel"/>
    <w:tmpl w:val="23586DB2"/>
    <w:lvl w:ilvl="0" w:tplc="A3F43BF2">
      <w:start w:val="1"/>
      <w:numFmt w:val="decimal"/>
      <w:lvlText w:val="(%1"/>
      <w:lvlJc w:val="left"/>
      <w:pPr>
        <w:ind w:left="2520" w:hanging="360"/>
      </w:pPr>
      <w:rPr>
        <w:rFonts w:ascii="Arial" w:hAnsi="Arial" w:cs="Aria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nsid w:val="7F7153F7"/>
    <w:multiLevelType w:val="hybridMultilevel"/>
    <w:tmpl w:val="0AC44F5C"/>
    <w:lvl w:ilvl="0" w:tplc="9C7A73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19"/>
  </w:num>
  <w:num w:numId="4">
    <w:abstractNumId w:val="14"/>
  </w:num>
  <w:num w:numId="5">
    <w:abstractNumId w:val="13"/>
  </w:num>
  <w:num w:numId="6">
    <w:abstractNumId w:val="23"/>
  </w:num>
  <w:num w:numId="7">
    <w:abstractNumId w:val="18"/>
  </w:num>
  <w:num w:numId="8">
    <w:abstractNumId w:val="21"/>
  </w:num>
  <w:num w:numId="9">
    <w:abstractNumId w:val="15"/>
  </w:num>
  <w:num w:numId="10">
    <w:abstractNumId w:val="20"/>
  </w:num>
  <w:num w:numId="11">
    <w:abstractNumId w:val="24"/>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25"/>
  </w:num>
  <w:num w:numId="23">
    <w:abstractNumId w:val="22"/>
  </w:num>
  <w:num w:numId="24">
    <w:abstractNumId w:val="16"/>
  </w:num>
  <w:num w:numId="25">
    <w:abstractNumId w:val="17"/>
  </w:num>
  <w:num w:numId="26">
    <w:abstractNumId w:val="11"/>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C4B"/>
    <w:rsid w:val="000003D2"/>
    <w:rsid w:val="00003041"/>
    <w:rsid w:val="000031AD"/>
    <w:rsid w:val="00003542"/>
    <w:rsid w:val="00005407"/>
    <w:rsid w:val="00005B93"/>
    <w:rsid w:val="00010BD5"/>
    <w:rsid w:val="0001244A"/>
    <w:rsid w:val="000164BA"/>
    <w:rsid w:val="00016520"/>
    <w:rsid w:val="00020B24"/>
    <w:rsid w:val="00022375"/>
    <w:rsid w:val="00022762"/>
    <w:rsid w:val="00022D78"/>
    <w:rsid w:val="0002577C"/>
    <w:rsid w:val="00026CA3"/>
    <w:rsid w:val="000275EF"/>
    <w:rsid w:val="00027FF8"/>
    <w:rsid w:val="00032DEC"/>
    <w:rsid w:val="00033088"/>
    <w:rsid w:val="00034385"/>
    <w:rsid w:val="00035800"/>
    <w:rsid w:val="00036197"/>
    <w:rsid w:val="00040733"/>
    <w:rsid w:val="000411D9"/>
    <w:rsid w:val="00041CCF"/>
    <w:rsid w:val="00043189"/>
    <w:rsid w:val="00043E18"/>
    <w:rsid w:val="000440A6"/>
    <w:rsid w:val="000453CB"/>
    <w:rsid w:val="0004571F"/>
    <w:rsid w:val="00050245"/>
    <w:rsid w:val="00051565"/>
    <w:rsid w:val="00053DDB"/>
    <w:rsid w:val="0005699C"/>
    <w:rsid w:val="000619D5"/>
    <w:rsid w:val="000645D3"/>
    <w:rsid w:val="00066E07"/>
    <w:rsid w:val="00067D8C"/>
    <w:rsid w:val="00071523"/>
    <w:rsid w:val="00072C7E"/>
    <w:rsid w:val="00072E49"/>
    <w:rsid w:val="000732F9"/>
    <w:rsid w:val="00075EDD"/>
    <w:rsid w:val="00076BE3"/>
    <w:rsid w:val="00077AB3"/>
    <w:rsid w:val="000848F4"/>
    <w:rsid w:val="0008513D"/>
    <w:rsid w:val="000871E3"/>
    <w:rsid w:val="00087A06"/>
    <w:rsid w:val="000908B5"/>
    <w:rsid w:val="00090F07"/>
    <w:rsid w:val="0009130A"/>
    <w:rsid w:val="00092B9C"/>
    <w:rsid w:val="000938BD"/>
    <w:rsid w:val="00095E23"/>
    <w:rsid w:val="0009673A"/>
    <w:rsid w:val="000A19B7"/>
    <w:rsid w:val="000A1C5E"/>
    <w:rsid w:val="000A70F8"/>
    <w:rsid w:val="000B1A8C"/>
    <w:rsid w:val="000B1E00"/>
    <w:rsid w:val="000B219B"/>
    <w:rsid w:val="000B294F"/>
    <w:rsid w:val="000B2CE3"/>
    <w:rsid w:val="000B4992"/>
    <w:rsid w:val="000B52BD"/>
    <w:rsid w:val="000B5A7D"/>
    <w:rsid w:val="000B60CC"/>
    <w:rsid w:val="000B6220"/>
    <w:rsid w:val="000B62D5"/>
    <w:rsid w:val="000B6BDE"/>
    <w:rsid w:val="000B6DC9"/>
    <w:rsid w:val="000B7081"/>
    <w:rsid w:val="000C0886"/>
    <w:rsid w:val="000C0D4A"/>
    <w:rsid w:val="000C2779"/>
    <w:rsid w:val="000C5194"/>
    <w:rsid w:val="000C61E5"/>
    <w:rsid w:val="000C6ECE"/>
    <w:rsid w:val="000C7D6F"/>
    <w:rsid w:val="000D0034"/>
    <w:rsid w:val="000D0D65"/>
    <w:rsid w:val="000D1444"/>
    <w:rsid w:val="000D3A3C"/>
    <w:rsid w:val="000D550B"/>
    <w:rsid w:val="000D5CDE"/>
    <w:rsid w:val="000E05D4"/>
    <w:rsid w:val="000E15DF"/>
    <w:rsid w:val="000E1650"/>
    <w:rsid w:val="000E2696"/>
    <w:rsid w:val="000E2E24"/>
    <w:rsid w:val="000E4877"/>
    <w:rsid w:val="000E4F98"/>
    <w:rsid w:val="000F256D"/>
    <w:rsid w:val="000F2949"/>
    <w:rsid w:val="000F2CFA"/>
    <w:rsid w:val="000F4357"/>
    <w:rsid w:val="000F436B"/>
    <w:rsid w:val="000F495A"/>
    <w:rsid w:val="000F5BBD"/>
    <w:rsid w:val="000F7C56"/>
    <w:rsid w:val="00100167"/>
    <w:rsid w:val="00101A63"/>
    <w:rsid w:val="00101B3D"/>
    <w:rsid w:val="00101C36"/>
    <w:rsid w:val="001033F2"/>
    <w:rsid w:val="00103C45"/>
    <w:rsid w:val="0010448A"/>
    <w:rsid w:val="001060DF"/>
    <w:rsid w:val="001071B8"/>
    <w:rsid w:val="00107404"/>
    <w:rsid w:val="001076FC"/>
    <w:rsid w:val="00107C08"/>
    <w:rsid w:val="00110241"/>
    <w:rsid w:val="00111799"/>
    <w:rsid w:val="0011287D"/>
    <w:rsid w:val="00112EEA"/>
    <w:rsid w:val="00115248"/>
    <w:rsid w:val="00116C0E"/>
    <w:rsid w:val="001177BF"/>
    <w:rsid w:val="00121198"/>
    <w:rsid w:val="00122ED3"/>
    <w:rsid w:val="0012629A"/>
    <w:rsid w:val="00131883"/>
    <w:rsid w:val="00132969"/>
    <w:rsid w:val="001352F6"/>
    <w:rsid w:val="0013692E"/>
    <w:rsid w:val="00136BBE"/>
    <w:rsid w:val="0013707F"/>
    <w:rsid w:val="00146C5A"/>
    <w:rsid w:val="001475F2"/>
    <w:rsid w:val="00147708"/>
    <w:rsid w:val="001525DA"/>
    <w:rsid w:val="00153103"/>
    <w:rsid w:val="0015387F"/>
    <w:rsid w:val="00154612"/>
    <w:rsid w:val="00155CB8"/>
    <w:rsid w:val="001577FD"/>
    <w:rsid w:val="00160095"/>
    <w:rsid w:val="00160DF6"/>
    <w:rsid w:val="00161B9D"/>
    <w:rsid w:val="00162789"/>
    <w:rsid w:val="00163104"/>
    <w:rsid w:val="00163EEF"/>
    <w:rsid w:val="001675D4"/>
    <w:rsid w:val="00176FD4"/>
    <w:rsid w:val="00180E74"/>
    <w:rsid w:val="001817B1"/>
    <w:rsid w:val="00181EB7"/>
    <w:rsid w:val="00182AFB"/>
    <w:rsid w:val="00182D08"/>
    <w:rsid w:val="00185E72"/>
    <w:rsid w:val="00187B22"/>
    <w:rsid w:val="001911C9"/>
    <w:rsid w:val="001919E5"/>
    <w:rsid w:val="001952A1"/>
    <w:rsid w:val="00195816"/>
    <w:rsid w:val="001968A9"/>
    <w:rsid w:val="00196D73"/>
    <w:rsid w:val="00197191"/>
    <w:rsid w:val="001A172D"/>
    <w:rsid w:val="001A1D3F"/>
    <w:rsid w:val="001A4D10"/>
    <w:rsid w:val="001B1DC8"/>
    <w:rsid w:val="001B1E9E"/>
    <w:rsid w:val="001B20FC"/>
    <w:rsid w:val="001B6AD6"/>
    <w:rsid w:val="001C242E"/>
    <w:rsid w:val="001C2875"/>
    <w:rsid w:val="001C2AB1"/>
    <w:rsid w:val="001C37D8"/>
    <w:rsid w:val="001C4691"/>
    <w:rsid w:val="001C5590"/>
    <w:rsid w:val="001C7D67"/>
    <w:rsid w:val="001D008E"/>
    <w:rsid w:val="001D2089"/>
    <w:rsid w:val="001D299F"/>
    <w:rsid w:val="001D4A6D"/>
    <w:rsid w:val="001D5F18"/>
    <w:rsid w:val="001D627A"/>
    <w:rsid w:val="001D6540"/>
    <w:rsid w:val="001E1D79"/>
    <w:rsid w:val="001E1DB4"/>
    <w:rsid w:val="001E46A7"/>
    <w:rsid w:val="001E47E9"/>
    <w:rsid w:val="001F44FA"/>
    <w:rsid w:val="002021F4"/>
    <w:rsid w:val="00202AD4"/>
    <w:rsid w:val="00203C45"/>
    <w:rsid w:val="002048B1"/>
    <w:rsid w:val="0020541C"/>
    <w:rsid w:val="00212071"/>
    <w:rsid w:val="00212BBD"/>
    <w:rsid w:val="00213EC6"/>
    <w:rsid w:val="00214CA2"/>
    <w:rsid w:val="00223880"/>
    <w:rsid w:val="002248DF"/>
    <w:rsid w:val="00225D84"/>
    <w:rsid w:val="00226445"/>
    <w:rsid w:val="00230126"/>
    <w:rsid w:val="00230267"/>
    <w:rsid w:val="0023079D"/>
    <w:rsid w:val="00230E13"/>
    <w:rsid w:val="00231EA4"/>
    <w:rsid w:val="00232600"/>
    <w:rsid w:val="00235F4A"/>
    <w:rsid w:val="00236572"/>
    <w:rsid w:val="002404A5"/>
    <w:rsid w:val="0024069E"/>
    <w:rsid w:val="00242E66"/>
    <w:rsid w:val="00243714"/>
    <w:rsid w:val="00251BFF"/>
    <w:rsid w:val="00253764"/>
    <w:rsid w:val="00255DCC"/>
    <w:rsid w:val="00257B21"/>
    <w:rsid w:val="00262153"/>
    <w:rsid w:val="00263425"/>
    <w:rsid w:val="00264D32"/>
    <w:rsid w:val="00266BA6"/>
    <w:rsid w:val="002827C2"/>
    <w:rsid w:val="00290796"/>
    <w:rsid w:val="00291D73"/>
    <w:rsid w:val="00292509"/>
    <w:rsid w:val="00293D13"/>
    <w:rsid w:val="00294DFC"/>
    <w:rsid w:val="00295134"/>
    <w:rsid w:val="00297F47"/>
    <w:rsid w:val="002A2AD1"/>
    <w:rsid w:val="002A3E3F"/>
    <w:rsid w:val="002A6B80"/>
    <w:rsid w:val="002A7C54"/>
    <w:rsid w:val="002B0B25"/>
    <w:rsid w:val="002B4F8F"/>
    <w:rsid w:val="002B653F"/>
    <w:rsid w:val="002B7C17"/>
    <w:rsid w:val="002B7E24"/>
    <w:rsid w:val="002C682E"/>
    <w:rsid w:val="002D3378"/>
    <w:rsid w:val="002D3B8E"/>
    <w:rsid w:val="002D671D"/>
    <w:rsid w:val="002D6EF3"/>
    <w:rsid w:val="002D7486"/>
    <w:rsid w:val="002E18EE"/>
    <w:rsid w:val="002E38A9"/>
    <w:rsid w:val="002E3B53"/>
    <w:rsid w:val="002E4419"/>
    <w:rsid w:val="002E4A65"/>
    <w:rsid w:val="002E7F08"/>
    <w:rsid w:val="002F02CB"/>
    <w:rsid w:val="002F212E"/>
    <w:rsid w:val="002F2A50"/>
    <w:rsid w:val="002F56A7"/>
    <w:rsid w:val="002F6C28"/>
    <w:rsid w:val="00302BD0"/>
    <w:rsid w:val="00302DD5"/>
    <w:rsid w:val="00302E4B"/>
    <w:rsid w:val="003067FF"/>
    <w:rsid w:val="003076D7"/>
    <w:rsid w:val="00310B07"/>
    <w:rsid w:val="0031152E"/>
    <w:rsid w:val="0031203B"/>
    <w:rsid w:val="00314768"/>
    <w:rsid w:val="0032015A"/>
    <w:rsid w:val="0032060A"/>
    <w:rsid w:val="00321795"/>
    <w:rsid w:val="003229AF"/>
    <w:rsid w:val="003270DD"/>
    <w:rsid w:val="0033024C"/>
    <w:rsid w:val="00332C4D"/>
    <w:rsid w:val="00334427"/>
    <w:rsid w:val="0033514F"/>
    <w:rsid w:val="0033587C"/>
    <w:rsid w:val="00335C33"/>
    <w:rsid w:val="003372CD"/>
    <w:rsid w:val="00343732"/>
    <w:rsid w:val="003467BB"/>
    <w:rsid w:val="00347D52"/>
    <w:rsid w:val="003506FF"/>
    <w:rsid w:val="003511B3"/>
    <w:rsid w:val="00351A69"/>
    <w:rsid w:val="00357B48"/>
    <w:rsid w:val="00363166"/>
    <w:rsid w:val="00364050"/>
    <w:rsid w:val="00364E67"/>
    <w:rsid w:val="0036695E"/>
    <w:rsid w:val="00367458"/>
    <w:rsid w:val="00367A7A"/>
    <w:rsid w:val="00367E59"/>
    <w:rsid w:val="00370A8A"/>
    <w:rsid w:val="00372915"/>
    <w:rsid w:val="00372EAE"/>
    <w:rsid w:val="0037537D"/>
    <w:rsid w:val="003760F2"/>
    <w:rsid w:val="00377E83"/>
    <w:rsid w:val="00381714"/>
    <w:rsid w:val="00381C06"/>
    <w:rsid w:val="00383D6B"/>
    <w:rsid w:val="0038423D"/>
    <w:rsid w:val="003845B4"/>
    <w:rsid w:val="00384CA6"/>
    <w:rsid w:val="0038568B"/>
    <w:rsid w:val="00385DD9"/>
    <w:rsid w:val="00386AF3"/>
    <w:rsid w:val="003902A8"/>
    <w:rsid w:val="00390A65"/>
    <w:rsid w:val="00391E2F"/>
    <w:rsid w:val="003925D1"/>
    <w:rsid w:val="00393695"/>
    <w:rsid w:val="0039383B"/>
    <w:rsid w:val="0039448B"/>
    <w:rsid w:val="00394B64"/>
    <w:rsid w:val="0039594B"/>
    <w:rsid w:val="003A1E94"/>
    <w:rsid w:val="003A23E5"/>
    <w:rsid w:val="003A31F8"/>
    <w:rsid w:val="003A3CC0"/>
    <w:rsid w:val="003A5B7D"/>
    <w:rsid w:val="003B2852"/>
    <w:rsid w:val="003B374F"/>
    <w:rsid w:val="003B3805"/>
    <w:rsid w:val="003B3F63"/>
    <w:rsid w:val="003B4608"/>
    <w:rsid w:val="003B583B"/>
    <w:rsid w:val="003C0DBA"/>
    <w:rsid w:val="003C6C55"/>
    <w:rsid w:val="003D0203"/>
    <w:rsid w:val="003D197B"/>
    <w:rsid w:val="003D59D6"/>
    <w:rsid w:val="003D7005"/>
    <w:rsid w:val="003E19C5"/>
    <w:rsid w:val="003E2232"/>
    <w:rsid w:val="003E39D6"/>
    <w:rsid w:val="003E523B"/>
    <w:rsid w:val="003E6C42"/>
    <w:rsid w:val="003E731B"/>
    <w:rsid w:val="003E73BB"/>
    <w:rsid w:val="003E7498"/>
    <w:rsid w:val="003E7F56"/>
    <w:rsid w:val="003F051C"/>
    <w:rsid w:val="003F1D00"/>
    <w:rsid w:val="003F7EC3"/>
    <w:rsid w:val="00402F1D"/>
    <w:rsid w:val="00403131"/>
    <w:rsid w:val="00411D2E"/>
    <w:rsid w:val="00412734"/>
    <w:rsid w:val="00413D69"/>
    <w:rsid w:val="004140A9"/>
    <w:rsid w:val="004161C4"/>
    <w:rsid w:val="00416BA8"/>
    <w:rsid w:val="004243FD"/>
    <w:rsid w:val="00425BB2"/>
    <w:rsid w:val="00425CB4"/>
    <w:rsid w:val="00431010"/>
    <w:rsid w:val="004318E9"/>
    <w:rsid w:val="00431B6C"/>
    <w:rsid w:val="00432F86"/>
    <w:rsid w:val="00434CAE"/>
    <w:rsid w:val="00436284"/>
    <w:rsid w:val="004365F9"/>
    <w:rsid w:val="0043714C"/>
    <w:rsid w:val="0044155A"/>
    <w:rsid w:val="00443FB3"/>
    <w:rsid w:val="00444120"/>
    <w:rsid w:val="00444DB8"/>
    <w:rsid w:val="0044764A"/>
    <w:rsid w:val="00450191"/>
    <w:rsid w:val="0045297D"/>
    <w:rsid w:val="00453264"/>
    <w:rsid w:val="0045745E"/>
    <w:rsid w:val="00460F90"/>
    <w:rsid w:val="00461392"/>
    <w:rsid w:val="00461897"/>
    <w:rsid w:val="004623DD"/>
    <w:rsid w:val="00464992"/>
    <w:rsid w:val="0046504C"/>
    <w:rsid w:val="00465982"/>
    <w:rsid w:val="00467D33"/>
    <w:rsid w:val="00471FA9"/>
    <w:rsid w:val="00472918"/>
    <w:rsid w:val="00474127"/>
    <w:rsid w:val="00474BCC"/>
    <w:rsid w:val="00477D12"/>
    <w:rsid w:val="004832BC"/>
    <w:rsid w:val="004835A1"/>
    <w:rsid w:val="00483CAE"/>
    <w:rsid w:val="00483E43"/>
    <w:rsid w:val="00483F6B"/>
    <w:rsid w:val="00484EE2"/>
    <w:rsid w:val="004861B0"/>
    <w:rsid w:val="00487D5A"/>
    <w:rsid w:val="00490E3A"/>
    <w:rsid w:val="00493918"/>
    <w:rsid w:val="004939AC"/>
    <w:rsid w:val="004961CD"/>
    <w:rsid w:val="004A58EF"/>
    <w:rsid w:val="004A7422"/>
    <w:rsid w:val="004B2890"/>
    <w:rsid w:val="004B39A3"/>
    <w:rsid w:val="004B56C2"/>
    <w:rsid w:val="004B5C4F"/>
    <w:rsid w:val="004C4AF4"/>
    <w:rsid w:val="004C5814"/>
    <w:rsid w:val="004C5BC4"/>
    <w:rsid w:val="004C5C2C"/>
    <w:rsid w:val="004D2038"/>
    <w:rsid w:val="004D353C"/>
    <w:rsid w:val="004D53EE"/>
    <w:rsid w:val="004D58F9"/>
    <w:rsid w:val="004E35BF"/>
    <w:rsid w:val="004E43CD"/>
    <w:rsid w:val="004E507B"/>
    <w:rsid w:val="004E615B"/>
    <w:rsid w:val="004E7BCD"/>
    <w:rsid w:val="004F0671"/>
    <w:rsid w:val="004F0BE7"/>
    <w:rsid w:val="004F27B8"/>
    <w:rsid w:val="004F28C3"/>
    <w:rsid w:val="004F3A45"/>
    <w:rsid w:val="004F6D1E"/>
    <w:rsid w:val="004F7ED8"/>
    <w:rsid w:val="00501453"/>
    <w:rsid w:val="0050191F"/>
    <w:rsid w:val="005038CB"/>
    <w:rsid w:val="005057A6"/>
    <w:rsid w:val="0050757B"/>
    <w:rsid w:val="00510302"/>
    <w:rsid w:val="0051399B"/>
    <w:rsid w:val="00517F6C"/>
    <w:rsid w:val="005205BB"/>
    <w:rsid w:val="00521E44"/>
    <w:rsid w:val="00522FCF"/>
    <w:rsid w:val="0052453D"/>
    <w:rsid w:val="0052760E"/>
    <w:rsid w:val="005277C6"/>
    <w:rsid w:val="00531A9F"/>
    <w:rsid w:val="00533CFC"/>
    <w:rsid w:val="00537CA7"/>
    <w:rsid w:val="00537EFF"/>
    <w:rsid w:val="005435E3"/>
    <w:rsid w:val="00543DF6"/>
    <w:rsid w:val="00543FFE"/>
    <w:rsid w:val="005455A5"/>
    <w:rsid w:val="00550573"/>
    <w:rsid w:val="00553189"/>
    <w:rsid w:val="00553791"/>
    <w:rsid w:val="0055545E"/>
    <w:rsid w:val="00561E70"/>
    <w:rsid w:val="005623A7"/>
    <w:rsid w:val="00571150"/>
    <w:rsid w:val="0057340E"/>
    <w:rsid w:val="005735DA"/>
    <w:rsid w:val="00574381"/>
    <w:rsid w:val="00575D63"/>
    <w:rsid w:val="00576165"/>
    <w:rsid w:val="00580FC5"/>
    <w:rsid w:val="00584A83"/>
    <w:rsid w:val="005858FF"/>
    <w:rsid w:val="00586150"/>
    <w:rsid w:val="005864B1"/>
    <w:rsid w:val="005869FC"/>
    <w:rsid w:val="00590569"/>
    <w:rsid w:val="00590833"/>
    <w:rsid w:val="00592220"/>
    <w:rsid w:val="00593B68"/>
    <w:rsid w:val="0059586D"/>
    <w:rsid w:val="00597F7A"/>
    <w:rsid w:val="005A0CFC"/>
    <w:rsid w:val="005A1216"/>
    <w:rsid w:val="005A1B3E"/>
    <w:rsid w:val="005A26B6"/>
    <w:rsid w:val="005A29A3"/>
    <w:rsid w:val="005A581D"/>
    <w:rsid w:val="005A6057"/>
    <w:rsid w:val="005A7F65"/>
    <w:rsid w:val="005B1F8A"/>
    <w:rsid w:val="005B21AB"/>
    <w:rsid w:val="005B37C7"/>
    <w:rsid w:val="005B3D1D"/>
    <w:rsid w:val="005B4D98"/>
    <w:rsid w:val="005B4E89"/>
    <w:rsid w:val="005B5B6A"/>
    <w:rsid w:val="005B6FD2"/>
    <w:rsid w:val="005B7B80"/>
    <w:rsid w:val="005B7FB8"/>
    <w:rsid w:val="005C23C1"/>
    <w:rsid w:val="005C2D98"/>
    <w:rsid w:val="005C3BEA"/>
    <w:rsid w:val="005C6827"/>
    <w:rsid w:val="005C6E85"/>
    <w:rsid w:val="005C78E6"/>
    <w:rsid w:val="005D0110"/>
    <w:rsid w:val="005D2BFE"/>
    <w:rsid w:val="005D31B4"/>
    <w:rsid w:val="005D6143"/>
    <w:rsid w:val="005E0764"/>
    <w:rsid w:val="005E1FF5"/>
    <w:rsid w:val="005E6F2D"/>
    <w:rsid w:val="005F280D"/>
    <w:rsid w:val="005F2FFF"/>
    <w:rsid w:val="005F48AE"/>
    <w:rsid w:val="005F5214"/>
    <w:rsid w:val="005F6211"/>
    <w:rsid w:val="005F62AF"/>
    <w:rsid w:val="005F6EAD"/>
    <w:rsid w:val="00600B9E"/>
    <w:rsid w:val="00600D10"/>
    <w:rsid w:val="006028FD"/>
    <w:rsid w:val="006056EC"/>
    <w:rsid w:val="00605D30"/>
    <w:rsid w:val="00605FAC"/>
    <w:rsid w:val="006107ED"/>
    <w:rsid w:val="00610F9F"/>
    <w:rsid w:val="00611516"/>
    <w:rsid w:val="006132CD"/>
    <w:rsid w:val="00613A35"/>
    <w:rsid w:val="006176C7"/>
    <w:rsid w:val="00617B81"/>
    <w:rsid w:val="00620CD1"/>
    <w:rsid w:val="0062207B"/>
    <w:rsid w:val="00622987"/>
    <w:rsid w:val="00623205"/>
    <w:rsid w:val="00623A3A"/>
    <w:rsid w:val="0062552B"/>
    <w:rsid w:val="00626558"/>
    <w:rsid w:val="006274A4"/>
    <w:rsid w:val="00627C8E"/>
    <w:rsid w:val="00630EE2"/>
    <w:rsid w:val="00633A2F"/>
    <w:rsid w:val="00637137"/>
    <w:rsid w:val="00637999"/>
    <w:rsid w:val="00641C45"/>
    <w:rsid w:val="006422A8"/>
    <w:rsid w:val="006462A7"/>
    <w:rsid w:val="006464CD"/>
    <w:rsid w:val="006467AE"/>
    <w:rsid w:val="006500C8"/>
    <w:rsid w:val="0065037B"/>
    <w:rsid w:val="00651B55"/>
    <w:rsid w:val="006521AA"/>
    <w:rsid w:val="006523A7"/>
    <w:rsid w:val="0065448C"/>
    <w:rsid w:val="00654DFE"/>
    <w:rsid w:val="00657992"/>
    <w:rsid w:val="006622EA"/>
    <w:rsid w:val="00662526"/>
    <w:rsid w:val="006644EC"/>
    <w:rsid w:val="00665FD7"/>
    <w:rsid w:val="0067206D"/>
    <w:rsid w:val="00672E3C"/>
    <w:rsid w:val="00674CAF"/>
    <w:rsid w:val="00675A9C"/>
    <w:rsid w:val="00676B88"/>
    <w:rsid w:val="00681C68"/>
    <w:rsid w:val="00682763"/>
    <w:rsid w:val="00684DBE"/>
    <w:rsid w:val="006854C1"/>
    <w:rsid w:val="00686647"/>
    <w:rsid w:val="00686BCE"/>
    <w:rsid w:val="00690D76"/>
    <w:rsid w:val="0069126C"/>
    <w:rsid w:val="00692EBD"/>
    <w:rsid w:val="006946E1"/>
    <w:rsid w:val="00695A74"/>
    <w:rsid w:val="0069728D"/>
    <w:rsid w:val="006A1A63"/>
    <w:rsid w:val="006A23E2"/>
    <w:rsid w:val="006A284B"/>
    <w:rsid w:val="006A4FF0"/>
    <w:rsid w:val="006A60C9"/>
    <w:rsid w:val="006A71D1"/>
    <w:rsid w:val="006A75E3"/>
    <w:rsid w:val="006A7650"/>
    <w:rsid w:val="006A782F"/>
    <w:rsid w:val="006B0B9B"/>
    <w:rsid w:val="006B2227"/>
    <w:rsid w:val="006B2748"/>
    <w:rsid w:val="006B5280"/>
    <w:rsid w:val="006B5515"/>
    <w:rsid w:val="006B6B89"/>
    <w:rsid w:val="006B6E42"/>
    <w:rsid w:val="006C01EB"/>
    <w:rsid w:val="006C233B"/>
    <w:rsid w:val="006C28F1"/>
    <w:rsid w:val="006C2FB0"/>
    <w:rsid w:val="006C37A0"/>
    <w:rsid w:val="006C52E2"/>
    <w:rsid w:val="006D0F09"/>
    <w:rsid w:val="006D287C"/>
    <w:rsid w:val="006D3C0F"/>
    <w:rsid w:val="006D6A47"/>
    <w:rsid w:val="006E4D58"/>
    <w:rsid w:val="006E5DE8"/>
    <w:rsid w:val="006E79CA"/>
    <w:rsid w:val="006F6D9C"/>
    <w:rsid w:val="006F6F30"/>
    <w:rsid w:val="00700015"/>
    <w:rsid w:val="00700EA8"/>
    <w:rsid w:val="0070132F"/>
    <w:rsid w:val="00701F5A"/>
    <w:rsid w:val="007021A4"/>
    <w:rsid w:val="007023FE"/>
    <w:rsid w:val="007025B4"/>
    <w:rsid w:val="00703A22"/>
    <w:rsid w:val="00706C9A"/>
    <w:rsid w:val="007111C0"/>
    <w:rsid w:val="0071132A"/>
    <w:rsid w:val="00711969"/>
    <w:rsid w:val="007129C3"/>
    <w:rsid w:val="00714C2D"/>
    <w:rsid w:val="00717016"/>
    <w:rsid w:val="00721FA7"/>
    <w:rsid w:val="00723018"/>
    <w:rsid w:val="0072328B"/>
    <w:rsid w:val="00723870"/>
    <w:rsid w:val="00723D86"/>
    <w:rsid w:val="007249D3"/>
    <w:rsid w:val="007269B2"/>
    <w:rsid w:val="007300C8"/>
    <w:rsid w:val="00736C65"/>
    <w:rsid w:val="00740318"/>
    <w:rsid w:val="00740F34"/>
    <w:rsid w:val="007466F6"/>
    <w:rsid w:val="00746C21"/>
    <w:rsid w:val="00746C99"/>
    <w:rsid w:val="007500C3"/>
    <w:rsid w:val="00750F0E"/>
    <w:rsid w:val="007544A5"/>
    <w:rsid w:val="00754B34"/>
    <w:rsid w:val="00755197"/>
    <w:rsid w:val="00755417"/>
    <w:rsid w:val="0076010F"/>
    <w:rsid w:val="00760120"/>
    <w:rsid w:val="007607F1"/>
    <w:rsid w:val="00760D4C"/>
    <w:rsid w:val="00761379"/>
    <w:rsid w:val="007640AF"/>
    <w:rsid w:val="00764D9E"/>
    <w:rsid w:val="0076611E"/>
    <w:rsid w:val="007745A3"/>
    <w:rsid w:val="00774869"/>
    <w:rsid w:val="007756B9"/>
    <w:rsid w:val="00776E20"/>
    <w:rsid w:val="00782A54"/>
    <w:rsid w:val="0078316D"/>
    <w:rsid w:val="00783BE8"/>
    <w:rsid w:val="007843C0"/>
    <w:rsid w:val="00784659"/>
    <w:rsid w:val="00787344"/>
    <w:rsid w:val="0078751E"/>
    <w:rsid w:val="00791926"/>
    <w:rsid w:val="00792279"/>
    <w:rsid w:val="00795761"/>
    <w:rsid w:val="00796A2F"/>
    <w:rsid w:val="0079775C"/>
    <w:rsid w:val="00797833"/>
    <w:rsid w:val="007A08F3"/>
    <w:rsid w:val="007A1B72"/>
    <w:rsid w:val="007A42D7"/>
    <w:rsid w:val="007A59A9"/>
    <w:rsid w:val="007A78F5"/>
    <w:rsid w:val="007B124D"/>
    <w:rsid w:val="007B4790"/>
    <w:rsid w:val="007B6CF9"/>
    <w:rsid w:val="007B76C9"/>
    <w:rsid w:val="007C15AF"/>
    <w:rsid w:val="007C2015"/>
    <w:rsid w:val="007C2C9F"/>
    <w:rsid w:val="007D052E"/>
    <w:rsid w:val="007D3990"/>
    <w:rsid w:val="007D545F"/>
    <w:rsid w:val="007D6C7A"/>
    <w:rsid w:val="007E07F1"/>
    <w:rsid w:val="007E18D8"/>
    <w:rsid w:val="007E2B06"/>
    <w:rsid w:val="007E2EA2"/>
    <w:rsid w:val="007E364B"/>
    <w:rsid w:val="007E3E51"/>
    <w:rsid w:val="007E4BC8"/>
    <w:rsid w:val="007F03F6"/>
    <w:rsid w:val="007F2908"/>
    <w:rsid w:val="007F3AE3"/>
    <w:rsid w:val="007F44DC"/>
    <w:rsid w:val="007F459A"/>
    <w:rsid w:val="007F5F89"/>
    <w:rsid w:val="00800FF1"/>
    <w:rsid w:val="0080134B"/>
    <w:rsid w:val="00802EF0"/>
    <w:rsid w:val="0080483E"/>
    <w:rsid w:val="00804A21"/>
    <w:rsid w:val="0080503F"/>
    <w:rsid w:val="00805613"/>
    <w:rsid w:val="00807767"/>
    <w:rsid w:val="00810C4B"/>
    <w:rsid w:val="008129C7"/>
    <w:rsid w:val="00814185"/>
    <w:rsid w:val="0081666B"/>
    <w:rsid w:val="00816EDB"/>
    <w:rsid w:val="00817217"/>
    <w:rsid w:val="0082002F"/>
    <w:rsid w:val="00821CE2"/>
    <w:rsid w:val="008234E8"/>
    <w:rsid w:val="0082362B"/>
    <w:rsid w:val="00824D69"/>
    <w:rsid w:val="00832984"/>
    <w:rsid w:val="00834D76"/>
    <w:rsid w:val="0084033D"/>
    <w:rsid w:val="00842F74"/>
    <w:rsid w:val="0084360E"/>
    <w:rsid w:val="00843BCA"/>
    <w:rsid w:val="00846DAC"/>
    <w:rsid w:val="0085178B"/>
    <w:rsid w:val="0085372D"/>
    <w:rsid w:val="008539D7"/>
    <w:rsid w:val="00854EEA"/>
    <w:rsid w:val="00855764"/>
    <w:rsid w:val="008611F9"/>
    <w:rsid w:val="00862AA2"/>
    <w:rsid w:val="00864512"/>
    <w:rsid w:val="00864E2D"/>
    <w:rsid w:val="00865C45"/>
    <w:rsid w:val="008668A4"/>
    <w:rsid w:val="00866D95"/>
    <w:rsid w:val="00874DCE"/>
    <w:rsid w:val="00875140"/>
    <w:rsid w:val="00877C99"/>
    <w:rsid w:val="00882F05"/>
    <w:rsid w:val="008879C2"/>
    <w:rsid w:val="00891919"/>
    <w:rsid w:val="00893F82"/>
    <w:rsid w:val="00894B50"/>
    <w:rsid w:val="00894BD8"/>
    <w:rsid w:val="00894FBB"/>
    <w:rsid w:val="00896E82"/>
    <w:rsid w:val="008A017B"/>
    <w:rsid w:val="008A0C3D"/>
    <w:rsid w:val="008A197A"/>
    <w:rsid w:val="008A1EF4"/>
    <w:rsid w:val="008A26EA"/>
    <w:rsid w:val="008A4069"/>
    <w:rsid w:val="008A590E"/>
    <w:rsid w:val="008A5AC5"/>
    <w:rsid w:val="008A6C07"/>
    <w:rsid w:val="008A6C6D"/>
    <w:rsid w:val="008B1E88"/>
    <w:rsid w:val="008B239E"/>
    <w:rsid w:val="008B2D67"/>
    <w:rsid w:val="008B3099"/>
    <w:rsid w:val="008B4270"/>
    <w:rsid w:val="008B4DC8"/>
    <w:rsid w:val="008B4E20"/>
    <w:rsid w:val="008B7A22"/>
    <w:rsid w:val="008B7E6C"/>
    <w:rsid w:val="008C3828"/>
    <w:rsid w:val="008C5422"/>
    <w:rsid w:val="008C690B"/>
    <w:rsid w:val="008D0C04"/>
    <w:rsid w:val="008D0E34"/>
    <w:rsid w:val="008D11E4"/>
    <w:rsid w:val="008D15B4"/>
    <w:rsid w:val="008D32C1"/>
    <w:rsid w:val="008D499A"/>
    <w:rsid w:val="008D4FEC"/>
    <w:rsid w:val="008D7FE9"/>
    <w:rsid w:val="008E02D6"/>
    <w:rsid w:val="008E0AD9"/>
    <w:rsid w:val="008E0F6B"/>
    <w:rsid w:val="008E1339"/>
    <w:rsid w:val="008E2FA9"/>
    <w:rsid w:val="008E3016"/>
    <w:rsid w:val="008E5528"/>
    <w:rsid w:val="008E57D4"/>
    <w:rsid w:val="008F02B9"/>
    <w:rsid w:val="008F112E"/>
    <w:rsid w:val="008F3196"/>
    <w:rsid w:val="008F3408"/>
    <w:rsid w:val="008F55C2"/>
    <w:rsid w:val="008F56DE"/>
    <w:rsid w:val="0090026B"/>
    <w:rsid w:val="00902E59"/>
    <w:rsid w:val="00903492"/>
    <w:rsid w:val="00903719"/>
    <w:rsid w:val="0090492C"/>
    <w:rsid w:val="00904FBC"/>
    <w:rsid w:val="00910BF1"/>
    <w:rsid w:val="00911698"/>
    <w:rsid w:val="009118D4"/>
    <w:rsid w:val="0091209F"/>
    <w:rsid w:val="00912F36"/>
    <w:rsid w:val="00913731"/>
    <w:rsid w:val="00914C35"/>
    <w:rsid w:val="009166CE"/>
    <w:rsid w:val="00916FC0"/>
    <w:rsid w:val="00917D80"/>
    <w:rsid w:val="009212C0"/>
    <w:rsid w:val="00921F91"/>
    <w:rsid w:val="00922747"/>
    <w:rsid w:val="0092478A"/>
    <w:rsid w:val="0092545B"/>
    <w:rsid w:val="00926C63"/>
    <w:rsid w:val="00934567"/>
    <w:rsid w:val="0093725B"/>
    <w:rsid w:val="009410E1"/>
    <w:rsid w:val="00941700"/>
    <w:rsid w:val="00941CBA"/>
    <w:rsid w:val="0094257C"/>
    <w:rsid w:val="00942A34"/>
    <w:rsid w:val="00947494"/>
    <w:rsid w:val="00951A4B"/>
    <w:rsid w:val="00952498"/>
    <w:rsid w:val="00953DAE"/>
    <w:rsid w:val="0095416F"/>
    <w:rsid w:val="009550BB"/>
    <w:rsid w:val="009554BE"/>
    <w:rsid w:val="00956242"/>
    <w:rsid w:val="00965492"/>
    <w:rsid w:val="00966004"/>
    <w:rsid w:val="009667D5"/>
    <w:rsid w:val="00966931"/>
    <w:rsid w:val="00966D99"/>
    <w:rsid w:val="009674B5"/>
    <w:rsid w:val="00970290"/>
    <w:rsid w:val="00972883"/>
    <w:rsid w:val="00972E3F"/>
    <w:rsid w:val="0097411B"/>
    <w:rsid w:val="00975985"/>
    <w:rsid w:val="00975F45"/>
    <w:rsid w:val="00976381"/>
    <w:rsid w:val="009812BF"/>
    <w:rsid w:val="00982764"/>
    <w:rsid w:val="0098606A"/>
    <w:rsid w:val="00987331"/>
    <w:rsid w:val="00987A69"/>
    <w:rsid w:val="00990010"/>
    <w:rsid w:val="00990D41"/>
    <w:rsid w:val="00990DAD"/>
    <w:rsid w:val="00990EC4"/>
    <w:rsid w:val="00992778"/>
    <w:rsid w:val="00993155"/>
    <w:rsid w:val="00993192"/>
    <w:rsid w:val="009A197A"/>
    <w:rsid w:val="009A443A"/>
    <w:rsid w:val="009A46AB"/>
    <w:rsid w:val="009A52B3"/>
    <w:rsid w:val="009B1770"/>
    <w:rsid w:val="009B3FA2"/>
    <w:rsid w:val="009B55BC"/>
    <w:rsid w:val="009B5AA1"/>
    <w:rsid w:val="009B62FB"/>
    <w:rsid w:val="009C1E9D"/>
    <w:rsid w:val="009C35AB"/>
    <w:rsid w:val="009C3E34"/>
    <w:rsid w:val="009C53E1"/>
    <w:rsid w:val="009C7917"/>
    <w:rsid w:val="009D13A8"/>
    <w:rsid w:val="009D2951"/>
    <w:rsid w:val="009D3DBB"/>
    <w:rsid w:val="009D7EEC"/>
    <w:rsid w:val="009E5C43"/>
    <w:rsid w:val="009E76ED"/>
    <w:rsid w:val="009F0FD1"/>
    <w:rsid w:val="009F1A25"/>
    <w:rsid w:val="009F1E79"/>
    <w:rsid w:val="009F1F81"/>
    <w:rsid w:val="009F45C9"/>
    <w:rsid w:val="009F547B"/>
    <w:rsid w:val="009F6A58"/>
    <w:rsid w:val="00A00393"/>
    <w:rsid w:val="00A00E60"/>
    <w:rsid w:val="00A016C6"/>
    <w:rsid w:val="00A018B3"/>
    <w:rsid w:val="00A02DDF"/>
    <w:rsid w:val="00A048FF"/>
    <w:rsid w:val="00A059F3"/>
    <w:rsid w:val="00A063EE"/>
    <w:rsid w:val="00A07C10"/>
    <w:rsid w:val="00A10EBF"/>
    <w:rsid w:val="00A119CF"/>
    <w:rsid w:val="00A13103"/>
    <w:rsid w:val="00A13129"/>
    <w:rsid w:val="00A178E3"/>
    <w:rsid w:val="00A17994"/>
    <w:rsid w:val="00A2331B"/>
    <w:rsid w:val="00A234DA"/>
    <w:rsid w:val="00A25146"/>
    <w:rsid w:val="00A27BFB"/>
    <w:rsid w:val="00A27DE3"/>
    <w:rsid w:val="00A34479"/>
    <w:rsid w:val="00A413B8"/>
    <w:rsid w:val="00A41558"/>
    <w:rsid w:val="00A41F80"/>
    <w:rsid w:val="00A4228D"/>
    <w:rsid w:val="00A4557D"/>
    <w:rsid w:val="00A468C3"/>
    <w:rsid w:val="00A50AF7"/>
    <w:rsid w:val="00A52483"/>
    <w:rsid w:val="00A524F8"/>
    <w:rsid w:val="00A578CC"/>
    <w:rsid w:val="00A61DE6"/>
    <w:rsid w:val="00A61F58"/>
    <w:rsid w:val="00A65FED"/>
    <w:rsid w:val="00A669BD"/>
    <w:rsid w:val="00A670B7"/>
    <w:rsid w:val="00A7034C"/>
    <w:rsid w:val="00A7172F"/>
    <w:rsid w:val="00A720E6"/>
    <w:rsid w:val="00A72CB6"/>
    <w:rsid w:val="00A74B09"/>
    <w:rsid w:val="00A75387"/>
    <w:rsid w:val="00A77377"/>
    <w:rsid w:val="00A777B0"/>
    <w:rsid w:val="00A803AE"/>
    <w:rsid w:val="00A80FB1"/>
    <w:rsid w:val="00A847E2"/>
    <w:rsid w:val="00A86B66"/>
    <w:rsid w:val="00A91179"/>
    <w:rsid w:val="00A912C3"/>
    <w:rsid w:val="00A931AB"/>
    <w:rsid w:val="00A93EF4"/>
    <w:rsid w:val="00A943C6"/>
    <w:rsid w:val="00AA0C02"/>
    <w:rsid w:val="00AA2EE0"/>
    <w:rsid w:val="00AA76A7"/>
    <w:rsid w:val="00AB054A"/>
    <w:rsid w:val="00AB24C1"/>
    <w:rsid w:val="00AB3C12"/>
    <w:rsid w:val="00AB3D52"/>
    <w:rsid w:val="00AB3F6C"/>
    <w:rsid w:val="00AB4165"/>
    <w:rsid w:val="00AB4679"/>
    <w:rsid w:val="00AC2C2C"/>
    <w:rsid w:val="00AC2FA0"/>
    <w:rsid w:val="00AC4217"/>
    <w:rsid w:val="00AC469C"/>
    <w:rsid w:val="00AC4940"/>
    <w:rsid w:val="00AC6F43"/>
    <w:rsid w:val="00AD0149"/>
    <w:rsid w:val="00AD1568"/>
    <w:rsid w:val="00AD2302"/>
    <w:rsid w:val="00AD2F44"/>
    <w:rsid w:val="00AD33E8"/>
    <w:rsid w:val="00AD4135"/>
    <w:rsid w:val="00AD51CA"/>
    <w:rsid w:val="00AD5F13"/>
    <w:rsid w:val="00AD7210"/>
    <w:rsid w:val="00AD749D"/>
    <w:rsid w:val="00AE000F"/>
    <w:rsid w:val="00AE0E2A"/>
    <w:rsid w:val="00AE1D7D"/>
    <w:rsid w:val="00AF013E"/>
    <w:rsid w:val="00AF05ED"/>
    <w:rsid w:val="00AF17B8"/>
    <w:rsid w:val="00AF29AA"/>
    <w:rsid w:val="00AF3EE8"/>
    <w:rsid w:val="00AF5B98"/>
    <w:rsid w:val="00AF6397"/>
    <w:rsid w:val="00AF658F"/>
    <w:rsid w:val="00AF7749"/>
    <w:rsid w:val="00B0063E"/>
    <w:rsid w:val="00B006A0"/>
    <w:rsid w:val="00B00720"/>
    <w:rsid w:val="00B02A58"/>
    <w:rsid w:val="00B03C9D"/>
    <w:rsid w:val="00B03E48"/>
    <w:rsid w:val="00B0543C"/>
    <w:rsid w:val="00B06E09"/>
    <w:rsid w:val="00B07248"/>
    <w:rsid w:val="00B102D8"/>
    <w:rsid w:val="00B11CAB"/>
    <w:rsid w:val="00B12344"/>
    <w:rsid w:val="00B13236"/>
    <w:rsid w:val="00B13A70"/>
    <w:rsid w:val="00B1407A"/>
    <w:rsid w:val="00B15C38"/>
    <w:rsid w:val="00B15D95"/>
    <w:rsid w:val="00B23242"/>
    <w:rsid w:val="00B26E21"/>
    <w:rsid w:val="00B30A5E"/>
    <w:rsid w:val="00B33BCA"/>
    <w:rsid w:val="00B37FB0"/>
    <w:rsid w:val="00B4058B"/>
    <w:rsid w:val="00B41BB9"/>
    <w:rsid w:val="00B42388"/>
    <w:rsid w:val="00B5275D"/>
    <w:rsid w:val="00B52833"/>
    <w:rsid w:val="00B52A54"/>
    <w:rsid w:val="00B537E5"/>
    <w:rsid w:val="00B53BE2"/>
    <w:rsid w:val="00B54412"/>
    <w:rsid w:val="00B57182"/>
    <w:rsid w:val="00B60B45"/>
    <w:rsid w:val="00B65CD2"/>
    <w:rsid w:val="00B66346"/>
    <w:rsid w:val="00B71CB8"/>
    <w:rsid w:val="00B71EC4"/>
    <w:rsid w:val="00B74A9E"/>
    <w:rsid w:val="00B76D9A"/>
    <w:rsid w:val="00B778FA"/>
    <w:rsid w:val="00B8038A"/>
    <w:rsid w:val="00B805D7"/>
    <w:rsid w:val="00B819B9"/>
    <w:rsid w:val="00B82101"/>
    <w:rsid w:val="00B82AA4"/>
    <w:rsid w:val="00B84738"/>
    <w:rsid w:val="00B8489F"/>
    <w:rsid w:val="00B855E9"/>
    <w:rsid w:val="00B86CC9"/>
    <w:rsid w:val="00B872EC"/>
    <w:rsid w:val="00B874F4"/>
    <w:rsid w:val="00B93F86"/>
    <w:rsid w:val="00B9477A"/>
    <w:rsid w:val="00B95892"/>
    <w:rsid w:val="00B97E05"/>
    <w:rsid w:val="00BA1698"/>
    <w:rsid w:val="00BA4913"/>
    <w:rsid w:val="00BA5452"/>
    <w:rsid w:val="00BB3B0B"/>
    <w:rsid w:val="00BB4C74"/>
    <w:rsid w:val="00BB511E"/>
    <w:rsid w:val="00BB5D51"/>
    <w:rsid w:val="00BB61B4"/>
    <w:rsid w:val="00BB7410"/>
    <w:rsid w:val="00BC48F6"/>
    <w:rsid w:val="00BC6A7D"/>
    <w:rsid w:val="00BD0778"/>
    <w:rsid w:val="00BD081B"/>
    <w:rsid w:val="00BD3FF0"/>
    <w:rsid w:val="00BD60FF"/>
    <w:rsid w:val="00BE0F20"/>
    <w:rsid w:val="00BE139E"/>
    <w:rsid w:val="00BE2AB7"/>
    <w:rsid w:val="00BE3E4F"/>
    <w:rsid w:val="00BE5B8B"/>
    <w:rsid w:val="00BE6A67"/>
    <w:rsid w:val="00BF0026"/>
    <w:rsid w:val="00BF0A03"/>
    <w:rsid w:val="00BF2915"/>
    <w:rsid w:val="00BF3F5D"/>
    <w:rsid w:val="00BF4327"/>
    <w:rsid w:val="00BF6AB6"/>
    <w:rsid w:val="00BF74E5"/>
    <w:rsid w:val="00C02B93"/>
    <w:rsid w:val="00C04F6E"/>
    <w:rsid w:val="00C05D94"/>
    <w:rsid w:val="00C067C9"/>
    <w:rsid w:val="00C069D8"/>
    <w:rsid w:val="00C10A6F"/>
    <w:rsid w:val="00C116FC"/>
    <w:rsid w:val="00C132B2"/>
    <w:rsid w:val="00C16711"/>
    <w:rsid w:val="00C21133"/>
    <w:rsid w:val="00C2136F"/>
    <w:rsid w:val="00C22A7B"/>
    <w:rsid w:val="00C239DF"/>
    <w:rsid w:val="00C24862"/>
    <w:rsid w:val="00C304FF"/>
    <w:rsid w:val="00C30F7E"/>
    <w:rsid w:val="00C3164F"/>
    <w:rsid w:val="00C32320"/>
    <w:rsid w:val="00C33E32"/>
    <w:rsid w:val="00C341F4"/>
    <w:rsid w:val="00C35381"/>
    <w:rsid w:val="00C41996"/>
    <w:rsid w:val="00C4293B"/>
    <w:rsid w:val="00C46058"/>
    <w:rsid w:val="00C46864"/>
    <w:rsid w:val="00C46BA9"/>
    <w:rsid w:val="00C47F9C"/>
    <w:rsid w:val="00C51743"/>
    <w:rsid w:val="00C532B6"/>
    <w:rsid w:val="00C540CA"/>
    <w:rsid w:val="00C56564"/>
    <w:rsid w:val="00C57A41"/>
    <w:rsid w:val="00C618C4"/>
    <w:rsid w:val="00C61C3E"/>
    <w:rsid w:val="00C6680A"/>
    <w:rsid w:val="00C71489"/>
    <w:rsid w:val="00C71F21"/>
    <w:rsid w:val="00C75AA7"/>
    <w:rsid w:val="00C76868"/>
    <w:rsid w:val="00C76F18"/>
    <w:rsid w:val="00C77370"/>
    <w:rsid w:val="00C80721"/>
    <w:rsid w:val="00C81D80"/>
    <w:rsid w:val="00C82363"/>
    <w:rsid w:val="00C84FDC"/>
    <w:rsid w:val="00C86068"/>
    <w:rsid w:val="00C8650B"/>
    <w:rsid w:val="00C86B64"/>
    <w:rsid w:val="00C86C21"/>
    <w:rsid w:val="00C8721F"/>
    <w:rsid w:val="00C9202D"/>
    <w:rsid w:val="00C92A3D"/>
    <w:rsid w:val="00C934F3"/>
    <w:rsid w:val="00C943CC"/>
    <w:rsid w:val="00C944AB"/>
    <w:rsid w:val="00C97A4E"/>
    <w:rsid w:val="00CA32AA"/>
    <w:rsid w:val="00CA3C1D"/>
    <w:rsid w:val="00CA3C4E"/>
    <w:rsid w:val="00CA43DA"/>
    <w:rsid w:val="00CA6D9A"/>
    <w:rsid w:val="00CA6FF6"/>
    <w:rsid w:val="00CA74D9"/>
    <w:rsid w:val="00CB0713"/>
    <w:rsid w:val="00CB0A01"/>
    <w:rsid w:val="00CB70A6"/>
    <w:rsid w:val="00CC1AA5"/>
    <w:rsid w:val="00CC1FCE"/>
    <w:rsid w:val="00CC2437"/>
    <w:rsid w:val="00CC3F39"/>
    <w:rsid w:val="00CC7482"/>
    <w:rsid w:val="00CC75F9"/>
    <w:rsid w:val="00CC7E58"/>
    <w:rsid w:val="00CD18C5"/>
    <w:rsid w:val="00CD2C84"/>
    <w:rsid w:val="00CD6C14"/>
    <w:rsid w:val="00CE198F"/>
    <w:rsid w:val="00CE24D1"/>
    <w:rsid w:val="00CE4F62"/>
    <w:rsid w:val="00CE4F87"/>
    <w:rsid w:val="00CE73B1"/>
    <w:rsid w:val="00CF1DAA"/>
    <w:rsid w:val="00CF2973"/>
    <w:rsid w:val="00CF508F"/>
    <w:rsid w:val="00CF7EE0"/>
    <w:rsid w:val="00D01991"/>
    <w:rsid w:val="00D061A9"/>
    <w:rsid w:val="00D06654"/>
    <w:rsid w:val="00D073D9"/>
    <w:rsid w:val="00D07F57"/>
    <w:rsid w:val="00D11AEE"/>
    <w:rsid w:val="00D12A03"/>
    <w:rsid w:val="00D13E72"/>
    <w:rsid w:val="00D1432C"/>
    <w:rsid w:val="00D166B8"/>
    <w:rsid w:val="00D17DC5"/>
    <w:rsid w:val="00D20813"/>
    <w:rsid w:val="00D21BC4"/>
    <w:rsid w:val="00D21D2B"/>
    <w:rsid w:val="00D221DB"/>
    <w:rsid w:val="00D25900"/>
    <w:rsid w:val="00D27BA7"/>
    <w:rsid w:val="00D27CEF"/>
    <w:rsid w:val="00D31A72"/>
    <w:rsid w:val="00D32F52"/>
    <w:rsid w:val="00D34489"/>
    <w:rsid w:val="00D35454"/>
    <w:rsid w:val="00D35C8F"/>
    <w:rsid w:val="00D35E50"/>
    <w:rsid w:val="00D4000F"/>
    <w:rsid w:val="00D408DE"/>
    <w:rsid w:val="00D41A02"/>
    <w:rsid w:val="00D41AF8"/>
    <w:rsid w:val="00D465A6"/>
    <w:rsid w:val="00D5051D"/>
    <w:rsid w:val="00D53631"/>
    <w:rsid w:val="00D53DFB"/>
    <w:rsid w:val="00D55835"/>
    <w:rsid w:val="00D55F86"/>
    <w:rsid w:val="00D56A76"/>
    <w:rsid w:val="00D62101"/>
    <w:rsid w:val="00D6235B"/>
    <w:rsid w:val="00D629BE"/>
    <w:rsid w:val="00D6333C"/>
    <w:rsid w:val="00D63A5A"/>
    <w:rsid w:val="00D63BBE"/>
    <w:rsid w:val="00D646AD"/>
    <w:rsid w:val="00D6470C"/>
    <w:rsid w:val="00D67363"/>
    <w:rsid w:val="00D67B70"/>
    <w:rsid w:val="00D7553F"/>
    <w:rsid w:val="00D777B7"/>
    <w:rsid w:val="00D81F1D"/>
    <w:rsid w:val="00D84534"/>
    <w:rsid w:val="00D84663"/>
    <w:rsid w:val="00D86093"/>
    <w:rsid w:val="00D87B2E"/>
    <w:rsid w:val="00D908E7"/>
    <w:rsid w:val="00D932A1"/>
    <w:rsid w:val="00D96AB0"/>
    <w:rsid w:val="00DA0986"/>
    <w:rsid w:val="00DA19A5"/>
    <w:rsid w:val="00DA23DC"/>
    <w:rsid w:val="00DA3433"/>
    <w:rsid w:val="00DA3A23"/>
    <w:rsid w:val="00DA4E49"/>
    <w:rsid w:val="00DA66D0"/>
    <w:rsid w:val="00DA6DE6"/>
    <w:rsid w:val="00DA7D07"/>
    <w:rsid w:val="00DB0AE3"/>
    <w:rsid w:val="00DB1FCD"/>
    <w:rsid w:val="00DB24F8"/>
    <w:rsid w:val="00DB36CC"/>
    <w:rsid w:val="00DB398F"/>
    <w:rsid w:val="00DB3D9F"/>
    <w:rsid w:val="00DB4B6E"/>
    <w:rsid w:val="00DB5CB5"/>
    <w:rsid w:val="00DB6E63"/>
    <w:rsid w:val="00DC035A"/>
    <w:rsid w:val="00DC49C0"/>
    <w:rsid w:val="00DC70E7"/>
    <w:rsid w:val="00DC71E6"/>
    <w:rsid w:val="00DC7CBA"/>
    <w:rsid w:val="00DC7FF9"/>
    <w:rsid w:val="00DD0266"/>
    <w:rsid w:val="00DD1A39"/>
    <w:rsid w:val="00DD3374"/>
    <w:rsid w:val="00DD4E03"/>
    <w:rsid w:val="00DD58E0"/>
    <w:rsid w:val="00DD7007"/>
    <w:rsid w:val="00DD76AD"/>
    <w:rsid w:val="00DD7CC8"/>
    <w:rsid w:val="00DE0685"/>
    <w:rsid w:val="00DE2345"/>
    <w:rsid w:val="00DE3689"/>
    <w:rsid w:val="00DE77C3"/>
    <w:rsid w:val="00DF0953"/>
    <w:rsid w:val="00DF0B51"/>
    <w:rsid w:val="00DF2E5A"/>
    <w:rsid w:val="00DF49F3"/>
    <w:rsid w:val="00E02DD1"/>
    <w:rsid w:val="00E042D6"/>
    <w:rsid w:val="00E04613"/>
    <w:rsid w:val="00E05A48"/>
    <w:rsid w:val="00E068A8"/>
    <w:rsid w:val="00E06920"/>
    <w:rsid w:val="00E10D4C"/>
    <w:rsid w:val="00E11AE0"/>
    <w:rsid w:val="00E11CE9"/>
    <w:rsid w:val="00E138E6"/>
    <w:rsid w:val="00E14ADB"/>
    <w:rsid w:val="00E16FD7"/>
    <w:rsid w:val="00E20126"/>
    <w:rsid w:val="00E203F3"/>
    <w:rsid w:val="00E21624"/>
    <w:rsid w:val="00E232F0"/>
    <w:rsid w:val="00E251A9"/>
    <w:rsid w:val="00E2586F"/>
    <w:rsid w:val="00E3068F"/>
    <w:rsid w:val="00E31EF2"/>
    <w:rsid w:val="00E32455"/>
    <w:rsid w:val="00E33DFC"/>
    <w:rsid w:val="00E374CF"/>
    <w:rsid w:val="00E37CA9"/>
    <w:rsid w:val="00E40222"/>
    <w:rsid w:val="00E42C49"/>
    <w:rsid w:val="00E46436"/>
    <w:rsid w:val="00E47290"/>
    <w:rsid w:val="00E5025B"/>
    <w:rsid w:val="00E5033A"/>
    <w:rsid w:val="00E54068"/>
    <w:rsid w:val="00E55474"/>
    <w:rsid w:val="00E57430"/>
    <w:rsid w:val="00E57B28"/>
    <w:rsid w:val="00E636B9"/>
    <w:rsid w:val="00E63C98"/>
    <w:rsid w:val="00E6529D"/>
    <w:rsid w:val="00E658B5"/>
    <w:rsid w:val="00E67D8D"/>
    <w:rsid w:val="00E7016C"/>
    <w:rsid w:val="00E7124E"/>
    <w:rsid w:val="00E71B90"/>
    <w:rsid w:val="00E724AC"/>
    <w:rsid w:val="00E754C3"/>
    <w:rsid w:val="00E76853"/>
    <w:rsid w:val="00E802C0"/>
    <w:rsid w:val="00E8145F"/>
    <w:rsid w:val="00E834C2"/>
    <w:rsid w:val="00E83BD1"/>
    <w:rsid w:val="00E8405D"/>
    <w:rsid w:val="00E85963"/>
    <w:rsid w:val="00E85F8B"/>
    <w:rsid w:val="00E90274"/>
    <w:rsid w:val="00E90E0B"/>
    <w:rsid w:val="00E918C1"/>
    <w:rsid w:val="00E93CF1"/>
    <w:rsid w:val="00E941B9"/>
    <w:rsid w:val="00E94975"/>
    <w:rsid w:val="00E94B89"/>
    <w:rsid w:val="00E95F81"/>
    <w:rsid w:val="00E96FCF"/>
    <w:rsid w:val="00EA1564"/>
    <w:rsid w:val="00EA1EE2"/>
    <w:rsid w:val="00EA44A6"/>
    <w:rsid w:val="00EA50E0"/>
    <w:rsid w:val="00EB06E7"/>
    <w:rsid w:val="00EB0A9E"/>
    <w:rsid w:val="00EB243A"/>
    <w:rsid w:val="00EB5FCF"/>
    <w:rsid w:val="00EB6678"/>
    <w:rsid w:val="00EB6B99"/>
    <w:rsid w:val="00EC2107"/>
    <w:rsid w:val="00EC36C7"/>
    <w:rsid w:val="00EC3DE0"/>
    <w:rsid w:val="00EC59CE"/>
    <w:rsid w:val="00EC7408"/>
    <w:rsid w:val="00ED03B6"/>
    <w:rsid w:val="00ED0AA9"/>
    <w:rsid w:val="00ED0D61"/>
    <w:rsid w:val="00ED1013"/>
    <w:rsid w:val="00ED160D"/>
    <w:rsid w:val="00ED18E2"/>
    <w:rsid w:val="00ED1FC3"/>
    <w:rsid w:val="00ED337B"/>
    <w:rsid w:val="00ED3749"/>
    <w:rsid w:val="00ED5245"/>
    <w:rsid w:val="00ED5D9F"/>
    <w:rsid w:val="00ED70D3"/>
    <w:rsid w:val="00ED7412"/>
    <w:rsid w:val="00EE4EEA"/>
    <w:rsid w:val="00EF01FE"/>
    <w:rsid w:val="00EF0738"/>
    <w:rsid w:val="00EF0A70"/>
    <w:rsid w:val="00EF12D1"/>
    <w:rsid w:val="00EF1FAB"/>
    <w:rsid w:val="00EF737D"/>
    <w:rsid w:val="00F0070E"/>
    <w:rsid w:val="00F0340C"/>
    <w:rsid w:val="00F07039"/>
    <w:rsid w:val="00F07161"/>
    <w:rsid w:val="00F0764B"/>
    <w:rsid w:val="00F107A0"/>
    <w:rsid w:val="00F10FC3"/>
    <w:rsid w:val="00F124A6"/>
    <w:rsid w:val="00F148DB"/>
    <w:rsid w:val="00F15152"/>
    <w:rsid w:val="00F17BCD"/>
    <w:rsid w:val="00F22AFD"/>
    <w:rsid w:val="00F2610B"/>
    <w:rsid w:val="00F30954"/>
    <w:rsid w:val="00F313AC"/>
    <w:rsid w:val="00F31FAD"/>
    <w:rsid w:val="00F356BF"/>
    <w:rsid w:val="00F3628C"/>
    <w:rsid w:val="00F363C0"/>
    <w:rsid w:val="00F3698C"/>
    <w:rsid w:val="00F36AFD"/>
    <w:rsid w:val="00F40647"/>
    <w:rsid w:val="00F40FED"/>
    <w:rsid w:val="00F414C1"/>
    <w:rsid w:val="00F425F4"/>
    <w:rsid w:val="00F465A2"/>
    <w:rsid w:val="00F4688A"/>
    <w:rsid w:val="00F54C6C"/>
    <w:rsid w:val="00F570D1"/>
    <w:rsid w:val="00F57308"/>
    <w:rsid w:val="00F57AE3"/>
    <w:rsid w:val="00F61FE2"/>
    <w:rsid w:val="00F638EC"/>
    <w:rsid w:val="00F64538"/>
    <w:rsid w:val="00F6537D"/>
    <w:rsid w:val="00F666A3"/>
    <w:rsid w:val="00F66B6C"/>
    <w:rsid w:val="00F67DEC"/>
    <w:rsid w:val="00F704DB"/>
    <w:rsid w:val="00F705D5"/>
    <w:rsid w:val="00F71482"/>
    <w:rsid w:val="00F71FAD"/>
    <w:rsid w:val="00F72FD6"/>
    <w:rsid w:val="00F747C5"/>
    <w:rsid w:val="00F7549C"/>
    <w:rsid w:val="00F75B54"/>
    <w:rsid w:val="00F804C5"/>
    <w:rsid w:val="00F8092C"/>
    <w:rsid w:val="00F82C53"/>
    <w:rsid w:val="00F85AFD"/>
    <w:rsid w:val="00F874BC"/>
    <w:rsid w:val="00F9019C"/>
    <w:rsid w:val="00F9481C"/>
    <w:rsid w:val="00F95435"/>
    <w:rsid w:val="00F959E6"/>
    <w:rsid w:val="00F9644F"/>
    <w:rsid w:val="00F96EB0"/>
    <w:rsid w:val="00F972F1"/>
    <w:rsid w:val="00F9779A"/>
    <w:rsid w:val="00FA2B68"/>
    <w:rsid w:val="00FA2DA6"/>
    <w:rsid w:val="00FA3D60"/>
    <w:rsid w:val="00FA4A16"/>
    <w:rsid w:val="00FA4A90"/>
    <w:rsid w:val="00FA622D"/>
    <w:rsid w:val="00FB02E8"/>
    <w:rsid w:val="00FB15A9"/>
    <w:rsid w:val="00FB28F9"/>
    <w:rsid w:val="00FB3008"/>
    <w:rsid w:val="00FB35A7"/>
    <w:rsid w:val="00FB39B4"/>
    <w:rsid w:val="00FB4040"/>
    <w:rsid w:val="00FB5EB1"/>
    <w:rsid w:val="00FB7D17"/>
    <w:rsid w:val="00FC0A23"/>
    <w:rsid w:val="00FC14FB"/>
    <w:rsid w:val="00FC3410"/>
    <w:rsid w:val="00FC36C1"/>
    <w:rsid w:val="00FC388A"/>
    <w:rsid w:val="00FC62AE"/>
    <w:rsid w:val="00FD24C4"/>
    <w:rsid w:val="00FD2B5F"/>
    <w:rsid w:val="00FD3158"/>
    <w:rsid w:val="00FD394F"/>
    <w:rsid w:val="00FD4AE1"/>
    <w:rsid w:val="00FD5AB0"/>
    <w:rsid w:val="00FE3D87"/>
    <w:rsid w:val="00FE5B61"/>
    <w:rsid w:val="00FF0ACA"/>
    <w:rsid w:val="00FF129B"/>
    <w:rsid w:val="00FF1F24"/>
    <w:rsid w:val="00FF3036"/>
    <w:rsid w:val="00FF3585"/>
    <w:rsid w:val="00FF4307"/>
    <w:rsid w:val="00FF4759"/>
    <w:rsid w:val="00FF5BF9"/>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F45"/>
    <w:pPr>
      <w:spacing w:after="120" w:line="360" w:lineRule="auto"/>
    </w:pPr>
    <w:rPr>
      <w:rFonts w:ascii="Arial" w:eastAsia="Times New Roman" w:hAnsi="Arial" w:cs="Arial"/>
      <w:sz w:val="24"/>
      <w:szCs w:val="24"/>
      <w:lang w:val="en-US" w:eastAsia="he-IL"/>
    </w:rPr>
  </w:style>
  <w:style w:type="paragraph" w:styleId="Heading1">
    <w:name w:val="heading 1"/>
    <w:basedOn w:val="Head1Release"/>
    <w:next w:val="text1"/>
    <w:link w:val="Heading1Char"/>
    <w:qFormat/>
    <w:rsid w:val="008A5AC5"/>
    <w:pPr>
      <w:outlineLvl w:val="0"/>
    </w:pPr>
    <w:rPr>
      <w:snapToGrid/>
      <w:sz w:val="32"/>
      <w:szCs w:val="32"/>
    </w:rPr>
  </w:style>
  <w:style w:type="paragraph" w:styleId="Heading2">
    <w:name w:val="heading 2"/>
    <w:basedOn w:val="Head2Release"/>
    <w:next w:val="text1"/>
    <w:link w:val="Heading2Char"/>
    <w:uiPriority w:val="9"/>
    <w:unhideWhenUsed/>
    <w:qFormat/>
    <w:rsid w:val="000F495A"/>
    <w:pPr>
      <w:spacing w:before="240" w:after="200" w:line="240" w:lineRule="auto"/>
      <w:jc w:val="left"/>
      <w:outlineLvl w:val="1"/>
    </w:pPr>
    <w:rPr>
      <w:color w:val="31849B" w:themeColor="accent5" w:themeShade="BF"/>
      <w:szCs w:val="26"/>
    </w:rPr>
  </w:style>
  <w:style w:type="paragraph" w:styleId="Heading3">
    <w:name w:val="heading 3"/>
    <w:next w:val="text1"/>
    <w:link w:val="Heading3Char"/>
    <w:uiPriority w:val="9"/>
    <w:unhideWhenUsed/>
    <w:qFormat/>
    <w:rsid w:val="00975F45"/>
    <w:pPr>
      <w:spacing w:after="120" w:line="360" w:lineRule="auto"/>
      <w:outlineLvl w:val="2"/>
    </w:pPr>
    <w:rPr>
      <w:rFonts w:ascii="Arial" w:eastAsia="Times New Roman" w:hAnsi="Arial" w:cs="Arial"/>
      <w:b/>
      <w:sz w:val="24"/>
      <w:szCs w:val="24"/>
      <w:lang w:val="en-US" w:eastAsia="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5AC5"/>
    <w:rPr>
      <w:rFonts w:ascii="Arial" w:eastAsia="Times New Roman" w:hAnsi="Arial" w:cs="Arial"/>
      <w:b/>
      <w:bCs/>
      <w:color w:val="215868"/>
      <w:sz w:val="32"/>
      <w:szCs w:val="32"/>
      <w:lang w:val="en-US" w:eastAsia="he-IL"/>
    </w:rPr>
  </w:style>
  <w:style w:type="paragraph" w:styleId="Header">
    <w:name w:val="header"/>
    <w:basedOn w:val="Normal"/>
    <w:link w:val="HeaderChar"/>
    <w:uiPriority w:val="99"/>
    <w:rsid w:val="00A25146"/>
    <w:pPr>
      <w:tabs>
        <w:tab w:val="center" w:pos="4153"/>
        <w:tab w:val="right" w:pos="8306"/>
      </w:tabs>
      <w:bidi/>
      <w:spacing w:after="0" w:line="240" w:lineRule="auto"/>
    </w:pPr>
    <w:rPr>
      <w:rFonts w:ascii="Times New Roman" w:hAnsi="Times New Roman" w:cs="David"/>
      <w:b/>
      <w:bCs/>
      <w:szCs w:val="26"/>
    </w:rPr>
  </w:style>
  <w:style w:type="character" w:customStyle="1" w:styleId="HeaderChar">
    <w:name w:val="Header Char"/>
    <w:basedOn w:val="DefaultParagraphFont"/>
    <w:link w:val="Header"/>
    <w:uiPriority w:val="99"/>
    <w:rsid w:val="00A25146"/>
    <w:rPr>
      <w:rFonts w:ascii="Times New Roman" w:eastAsia="Times New Roman" w:hAnsi="Times New Roman" w:cs="David"/>
      <w:b/>
      <w:bCs/>
      <w:sz w:val="24"/>
      <w:szCs w:val="26"/>
      <w:lang w:val="en-US" w:eastAsia="he-IL"/>
    </w:rPr>
  </w:style>
  <w:style w:type="paragraph" w:styleId="Footer">
    <w:name w:val="footer"/>
    <w:basedOn w:val="Normal"/>
    <w:link w:val="FooterChar"/>
    <w:uiPriority w:val="99"/>
    <w:rsid w:val="00A25146"/>
    <w:pPr>
      <w:tabs>
        <w:tab w:val="center" w:pos="4153"/>
        <w:tab w:val="right" w:pos="8306"/>
      </w:tabs>
      <w:bidi/>
      <w:spacing w:after="0" w:line="240" w:lineRule="auto"/>
    </w:pPr>
    <w:rPr>
      <w:rFonts w:ascii="Times New Roman" w:hAnsi="Times New Roman" w:cs="David"/>
      <w:b/>
      <w:bCs/>
      <w:szCs w:val="26"/>
    </w:rPr>
  </w:style>
  <w:style w:type="character" w:customStyle="1" w:styleId="FooterChar">
    <w:name w:val="Footer Char"/>
    <w:basedOn w:val="DefaultParagraphFont"/>
    <w:link w:val="Footer"/>
    <w:uiPriority w:val="99"/>
    <w:rsid w:val="00A25146"/>
    <w:rPr>
      <w:rFonts w:ascii="Times New Roman" w:eastAsia="Times New Roman" w:hAnsi="Times New Roman" w:cs="David"/>
      <w:b/>
      <w:bCs/>
      <w:sz w:val="24"/>
      <w:szCs w:val="26"/>
      <w:lang w:val="en-US" w:eastAsia="he-IL"/>
    </w:rPr>
  </w:style>
  <w:style w:type="character" w:styleId="PageNumber">
    <w:name w:val="page number"/>
    <w:basedOn w:val="DefaultParagraphFont"/>
    <w:rsid w:val="00A25146"/>
  </w:style>
  <w:style w:type="paragraph" w:styleId="FootnoteText">
    <w:name w:val="footnote text"/>
    <w:link w:val="FootnoteTextChar"/>
    <w:rsid w:val="00DB5CB5"/>
    <w:pPr>
      <w:spacing w:before="80" w:after="80" w:line="240" w:lineRule="auto"/>
      <w:ind w:left="173" w:hanging="173"/>
    </w:pPr>
    <w:rPr>
      <w:rFonts w:ascii="Arial" w:eastAsia="Times New Roman" w:hAnsi="Arial" w:cs="David"/>
      <w:sz w:val="24"/>
      <w:szCs w:val="24"/>
      <w:lang w:val="en-US" w:eastAsia="he-IL"/>
    </w:rPr>
  </w:style>
  <w:style w:type="character" w:customStyle="1" w:styleId="FootnoteTextChar">
    <w:name w:val="Footnote Text Char"/>
    <w:basedOn w:val="DefaultParagraphFont"/>
    <w:link w:val="FootnoteText"/>
    <w:rsid w:val="00DB5CB5"/>
    <w:rPr>
      <w:rFonts w:ascii="Arial" w:eastAsia="Times New Roman" w:hAnsi="Arial" w:cs="David"/>
      <w:sz w:val="24"/>
      <w:szCs w:val="24"/>
      <w:lang w:val="en-US" w:eastAsia="he-IL"/>
    </w:rPr>
  </w:style>
  <w:style w:type="character" w:styleId="FootnoteReference">
    <w:name w:val="footnote reference"/>
    <w:rsid w:val="00A25146"/>
    <w:rPr>
      <w:rFonts w:cs="Arial"/>
      <w:szCs w:val="20"/>
      <w:vertAlign w:val="superscript"/>
    </w:rPr>
  </w:style>
  <w:style w:type="paragraph" w:styleId="BodyText">
    <w:name w:val="Body Text"/>
    <w:aliases w:val="Body Text_Release"/>
    <w:link w:val="BodyTextChar"/>
    <w:qFormat/>
    <w:rsid w:val="00A25146"/>
    <w:pPr>
      <w:spacing w:after="120" w:line="360" w:lineRule="auto"/>
    </w:pPr>
    <w:rPr>
      <w:rFonts w:ascii="Arial" w:eastAsia="Times New Roman" w:hAnsi="Arial" w:cs="Arial"/>
      <w:lang w:val="en-US" w:eastAsia="he-IL"/>
    </w:rPr>
  </w:style>
  <w:style w:type="character" w:customStyle="1" w:styleId="BodyTextChar">
    <w:name w:val="Body Text Char"/>
    <w:aliases w:val="Body Text_Release Char"/>
    <w:basedOn w:val="DefaultParagraphFont"/>
    <w:link w:val="BodyText"/>
    <w:rsid w:val="00A25146"/>
    <w:rPr>
      <w:rFonts w:ascii="Arial" w:eastAsia="Times New Roman" w:hAnsi="Arial" w:cs="Arial"/>
      <w:lang w:val="en-US" w:eastAsia="he-IL"/>
    </w:rPr>
  </w:style>
  <w:style w:type="paragraph" w:customStyle="1" w:styleId="Head2Release">
    <w:name w:val="Head2_Release"/>
    <w:next w:val="BodyText"/>
    <w:qFormat/>
    <w:rsid w:val="00A25146"/>
    <w:pPr>
      <w:spacing w:after="120" w:line="360" w:lineRule="auto"/>
      <w:jc w:val="both"/>
    </w:pPr>
    <w:rPr>
      <w:rFonts w:ascii="Arial" w:eastAsia="Times New Roman" w:hAnsi="Arial" w:cs="Arial"/>
      <w:b/>
      <w:bCs/>
      <w:color w:val="215868"/>
      <w:sz w:val="26"/>
      <w:szCs w:val="28"/>
      <w:lang w:val="en-US" w:eastAsia="he-IL"/>
    </w:rPr>
  </w:style>
  <w:style w:type="paragraph" w:customStyle="1" w:styleId="Head3Release">
    <w:name w:val="Head3_Release"/>
    <w:next w:val="BodyText"/>
    <w:qFormat/>
    <w:rsid w:val="00A25146"/>
    <w:pPr>
      <w:spacing w:after="120" w:line="240" w:lineRule="auto"/>
    </w:pPr>
    <w:rPr>
      <w:rFonts w:ascii="Arial" w:eastAsia="Times New Roman" w:hAnsi="Arial" w:cs="Arial"/>
      <w:b/>
      <w:bCs/>
      <w:color w:val="215868"/>
      <w:sz w:val="24"/>
      <w:szCs w:val="26"/>
      <w:lang w:val="en-US" w:eastAsia="he-IL"/>
    </w:rPr>
  </w:style>
  <w:style w:type="paragraph" w:customStyle="1" w:styleId="Head1Release">
    <w:name w:val="Head1_Release"/>
    <w:next w:val="BodyText"/>
    <w:rsid w:val="00A25146"/>
    <w:pPr>
      <w:spacing w:after="0" w:line="360" w:lineRule="auto"/>
      <w:jc w:val="center"/>
    </w:pPr>
    <w:rPr>
      <w:rFonts w:ascii="Arial" w:eastAsia="Times New Roman" w:hAnsi="Arial" w:cs="Arial"/>
      <w:b/>
      <w:bCs/>
      <w:snapToGrid w:val="0"/>
      <w:color w:val="215868"/>
      <w:sz w:val="28"/>
      <w:szCs w:val="28"/>
      <w:lang w:val="en-US" w:eastAsia="he-IL"/>
    </w:rPr>
  </w:style>
  <w:style w:type="paragraph" w:customStyle="1" w:styleId="Head4Release">
    <w:name w:val="Head4Release"/>
    <w:next w:val="BodyText"/>
    <w:qFormat/>
    <w:rsid w:val="00681C68"/>
    <w:pPr>
      <w:spacing w:after="120" w:line="240" w:lineRule="auto"/>
    </w:pPr>
    <w:rPr>
      <w:rFonts w:ascii="Arial" w:eastAsia="Times New Roman" w:hAnsi="Arial" w:cs="Arial"/>
      <w:b/>
      <w:color w:val="215868"/>
      <w:lang w:val="en-US" w:eastAsia="he-IL"/>
    </w:rPr>
  </w:style>
  <w:style w:type="paragraph" w:customStyle="1" w:styleId="Bulletsbodytext">
    <w:name w:val="Bullets + body text"/>
    <w:qFormat/>
    <w:rsid w:val="000B294F"/>
    <w:pPr>
      <w:numPr>
        <w:numId w:val="1"/>
      </w:numPr>
      <w:spacing w:after="120" w:line="360" w:lineRule="auto"/>
      <w:jc w:val="both"/>
    </w:pPr>
    <w:rPr>
      <w:rFonts w:ascii="Arial" w:hAnsi="Arial" w:cs="Arial"/>
      <w:bCs/>
      <w:lang w:val="en-US"/>
    </w:rPr>
  </w:style>
  <w:style w:type="paragraph" w:styleId="BalloonText">
    <w:name w:val="Balloon Text"/>
    <w:basedOn w:val="Normal"/>
    <w:link w:val="BalloonTextChar"/>
    <w:uiPriority w:val="99"/>
    <w:semiHidden/>
    <w:unhideWhenUsed/>
    <w:rsid w:val="00A67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70B7"/>
    <w:rPr>
      <w:rFonts w:ascii="Tahoma" w:hAnsi="Tahoma" w:cs="Tahoma"/>
      <w:sz w:val="16"/>
      <w:szCs w:val="16"/>
    </w:rPr>
  </w:style>
  <w:style w:type="character" w:styleId="Hyperlink">
    <w:name w:val="Hyperlink"/>
    <w:basedOn w:val="DefaultParagraphFont"/>
    <w:uiPriority w:val="99"/>
    <w:unhideWhenUsed/>
    <w:rsid w:val="00195816"/>
    <w:rPr>
      <w:color w:val="0000FF" w:themeColor="hyperlink"/>
      <w:u w:val="single"/>
    </w:rPr>
  </w:style>
  <w:style w:type="paragraph" w:styleId="ListParagraph">
    <w:name w:val="List Paragraph"/>
    <w:basedOn w:val="Normal"/>
    <w:uiPriority w:val="34"/>
    <w:qFormat/>
    <w:rsid w:val="00195816"/>
    <w:pPr>
      <w:ind w:left="720"/>
      <w:contextualSpacing/>
    </w:pPr>
  </w:style>
  <w:style w:type="character" w:styleId="FollowedHyperlink">
    <w:name w:val="FollowedHyperlink"/>
    <w:basedOn w:val="DefaultParagraphFont"/>
    <w:uiPriority w:val="99"/>
    <w:semiHidden/>
    <w:unhideWhenUsed/>
    <w:rsid w:val="00DE77C3"/>
    <w:rPr>
      <w:color w:val="800080" w:themeColor="followedHyperlink"/>
      <w:u w:val="single"/>
    </w:rPr>
  </w:style>
  <w:style w:type="character" w:customStyle="1" w:styleId="Heading2Char">
    <w:name w:val="Heading 2 Char"/>
    <w:basedOn w:val="DefaultParagraphFont"/>
    <w:link w:val="Heading2"/>
    <w:uiPriority w:val="9"/>
    <w:rsid w:val="000F495A"/>
    <w:rPr>
      <w:rFonts w:ascii="Arial" w:eastAsia="Times New Roman" w:hAnsi="Arial" w:cs="Arial"/>
      <w:b/>
      <w:bCs/>
      <w:color w:val="31849B" w:themeColor="accent5" w:themeShade="BF"/>
      <w:sz w:val="26"/>
      <w:szCs w:val="26"/>
      <w:lang w:val="en-US" w:eastAsia="he-IL"/>
    </w:rPr>
  </w:style>
  <w:style w:type="character" w:customStyle="1" w:styleId="Heading3Char">
    <w:name w:val="Heading 3 Char"/>
    <w:basedOn w:val="DefaultParagraphFont"/>
    <w:link w:val="Heading3"/>
    <w:uiPriority w:val="9"/>
    <w:rsid w:val="00975F45"/>
    <w:rPr>
      <w:rFonts w:ascii="Arial" w:eastAsia="Times New Roman" w:hAnsi="Arial" w:cs="Arial"/>
      <w:b/>
      <w:sz w:val="24"/>
      <w:szCs w:val="24"/>
      <w:lang w:val="en-US" w:eastAsia="he-IL"/>
    </w:rPr>
  </w:style>
  <w:style w:type="paragraph" w:customStyle="1" w:styleId="bullet1">
    <w:name w:val="bullet1"/>
    <w:basedOn w:val="Bulletsbodytext"/>
    <w:qFormat/>
    <w:rsid w:val="008D0E34"/>
    <w:pPr>
      <w:jc w:val="left"/>
    </w:pPr>
    <w:rPr>
      <w:sz w:val="24"/>
      <w:szCs w:val="24"/>
    </w:rPr>
  </w:style>
  <w:style w:type="paragraph" w:customStyle="1" w:styleId="text1">
    <w:name w:val="text1"/>
    <w:basedOn w:val="BodyText"/>
    <w:qFormat/>
    <w:rsid w:val="00CF7EE0"/>
    <w:rPr>
      <w:sz w:val="24"/>
      <w:szCs w:val="24"/>
    </w:rPr>
  </w:style>
  <w:style w:type="paragraph" w:customStyle="1" w:styleId="flushright1">
    <w:name w:val="flushright1"/>
    <w:qFormat/>
    <w:rsid w:val="00DB5CB5"/>
    <w:pPr>
      <w:tabs>
        <w:tab w:val="right" w:pos="5529"/>
      </w:tabs>
      <w:spacing w:before="80" w:after="40" w:line="240" w:lineRule="auto"/>
      <w:jc w:val="right"/>
    </w:pPr>
    <w:rPr>
      <w:rFonts w:ascii="Arial" w:eastAsia="Times New Roman" w:hAnsi="Arial" w:cs="Arial"/>
      <w:sz w:val="24"/>
      <w:szCs w:val="24"/>
      <w:lang w:val="en-US" w:eastAsia="he-IL"/>
    </w:rPr>
  </w:style>
  <w:style w:type="paragraph" w:customStyle="1" w:styleId="flushright2">
    <w:name w:val="flushright2"/>
    <w:qFormat/>
    <w:rsid w:val="008D0E34"/>
    <w:pPr>
      <w:spacing w:after="40" w:line="240" w:lineRule="auto"/>
      <w:jc w:val="right"/>
    </w:pPr>
    <w:rPr>
      <w:rFonts w:ascii="Arial" w:eastAsia="Times New Roman" w:hAnsi="Arial" w:cs="Arial"/>
      <w:sz w:val="24"/>
      <w:szCs w:val="24"/>
      <w:lang w:val="en-US" w:eastAsia="he-IL"/>
    </w:rPr>
  </w:style>
  <w:style w:type="paragraph" w:customStyle="1" w:styleId="flushright3">
    <w:name w:val="flushright3"/>
    <w:qFormat/>
    <w:rsid w:val="008668A4"/>
    <w:pPr>
      <w:spacing w:after="280" w:line="240" w:lineRule="auto"/>
      <w:jc w:val="right"/>
    </w:pPr>
    <w:rPr>
      <w:rFonts w:ascii="Arial" w:hAnsi="Arial" w:cs="Arial"/>
      <w:sz w:val="24"/>
      <w:szCs w:val="24"/>
    </w:rPr>
  </w:style>
  <w:style w:type="paragraph" w:customStyle="1" w:styleId="footer1">
    <w:name w:val="footer1"/>
    <w:basedOn w:val="Footer"/>
    <w:qFormat/>
    <w:rsid w:val="009B55BC"/>
    <w:pPr>
      <w:pBdr>
        <w:top w:val="single" w:sz="4" w:space="6" w:color="auto"/>
      </w:pBdr>
      <w:bidi w:val="0"/>
      <w:spacing w:before="160" w:after="80"/>
      <w:jc w:val="center"/>
    </w:pPr>
    <w:rPr>
      <w:rFonts w:asciiTheme="minorBidi" w:hAnsiTheme="minorBidi" w:cstheme="minorBidi"/>
      <w:b w:val="0"/>
      <w:bCs w:val="0"/>
      <w:noProof/>
    </w:rPr>
  </w:style>
  <w:style w:type="paragraph" w:customStyle="1" w:styleId="footer2">
    <w:name w:val="footer2"/>
    <w:basedOn w:val="footer1"/>
    <w:qFormat/>
    <w:rsid w:val="009B55BC"/>
    <w:pPr>
      <w:spacing w:before="0" w:after="160"/>
    </w:pPr>
  </w:style>
  <w:style w:type="paragraph" w:customStyle="1" w:styleId="Pagenumber0">
    <w:name w:val="Pagenumber"/>
    <w:basedOn w:val="Footer"/>
    <w:qFormat/>
    <w:rsid w:val="00461392"/>
    <w:pPr>
      <w:bidi w:val="0"/>
      <w:jc w:val="center"/>
    </w:pPr>
    <w:rPr>
      <w:rFonts w:asciiTheme="minorBidi" w:hAnsiTheme="minorBidi" w:cstheme="minorBidi"/>
      <w:b w:val="0"/>
      <w:bCs w:val="0"/>
      <w:noProof/>
    </w:rPr>
  </w:style>
  <w:style w:type="paragraph" w:customStyle="1" w:styleId="diagramhead">
    <w:name w:val="diagramhead"/>
    <w:next w:val="text1"/>
    <w:qFormat/>
    <w:rsid w:val="005057A6"/>
    <w:pPr>
      <w:keepNext/>
      <w:spacing w:before="160" w:after="160" w:line="360" w:lineRule="auto"/>
      <w:jc w:val="center"/>
    </w:pPr>
    <w:rPr>
      <w:rFonts w:ascii="Arial" w:eastAsia="Times New Roman" w:hAnsi="Arial" w:cs="Arial"/>
      <w:b/>
      <w:bCs/>
      <w:sz w:val="24"/>
      <w:szCs w:val="24"/>
      <w:lang w:val="en-US" w:eastAsia="he-IL"/>
    </w:rPr>
  </w:style>
  <w:style w:type="paragraph" w:customStyle="1" w:styleId="tablehead">
    <w:name w:val="tablehead"/>
    <w:basedOn w:val="Normal"/>
    <w:qFormat/>
    <w:rsid w:val="00EF737D"/>
    <w:pPr>
      <w:keepNext/>
      <w:jc w:val="center"/>
    </w:pPr>
    <w:rPr>
      <w:b/>
      <w:bCs/>
    </w:rPr>
  </w:style>
  <w:style w:type="paragraph" w:customStyle="1" w:styleId="tablecolumn">
    <w:name w:val="tablecolumn"/>
    <w:basedOn w:val="Normal"/>
    <w:qFormat/>
    <w:rsid w:val="00FF0ACA"/>
    <w:pPr>
      <w:keepNext/>
      <w:spacing w:after="0"/>
    </w:pPr>
  </w:style>
  <w:style w:type="paragraph" w:customStyle="1" w:styleId="centertext">
    <w:name w:val="centertext"/>
    <w:basedOn w:val="text1"/>
    <w:qFormat/>
    <w:rsid w:val="0076611E"/>
    <w:pPr>
      <w:spacing w:before="120" w:after="320" w:line="240" w:lineRule="auto"/>
      <w:jc w:val="center"/>
    </w:pPr>
    <w:rPr>
      <w:noProof/>
    </w:rPr>
  </w:style>
  <w:style w:type="paragraph" w:customStyle="1" w:styleId="fnindent">
    <w:name w:val="fnindent"/>
    <w:basedOn w:val="FootnoteText"/>
    <w:qFormat/>
    <w:rsid w:val="007F44DC"/>
    <w:pPr>
      <w:ind w:firstLine="0"/>
    </w:pPr>
  </w:style>
  <w:style w:type="paragraph" w:styleId="Title">
    <w:name w:val="Title"/>
    <w:basedOn w:val="Heading1"/>
    <w:next w:val="Normal"/>
    <w:link w:val="TitleChar"/>
    <w:uiPriority w:val="10"/>
    <w:qFormat/>
    <w:rsid w:val="00347D52"/>
    <w:pPr>
      <w:spacing w:before="120" w:after="160" w:line="240" w:lineRule="auto"/>
    </w:pPr>
    <w:rPr>
      <w:sz w:val="28"/>
      <w:szCs w:val="28"/>
    </w:rPr>
  </w:style>
  <w:style w:type="character" w:customStyle="1" w:styleId="TitleChar">
    <w:name w:val="Title Char"/>
    <w:basedOn w:val="DefaultParagraphFont"/>
    <w:link w:val="Title"/>
    <w:uiPriority w:val="10"/>
    <w:rsid w:val="00347D52"/>
    <w:rPr>
      <w:rFonts w:ascii="Arial" w:eastAsia="Times New Roman" w:hAnsi="Arial" w:cs="Arial"/>
      <w:b/>
      <w:bCs/>
      <w:color w:val="215868"/>
      <w:sz w:val="28"/>
      <w:szCs w:val="28"/>
      <w:lang w:val="en-US" w:eastAsia="he-IL"/>
    </w:rPr>
  </w:style>
  <w:style w:type="paragraph" w:styleId="Subtitle">
    <w:name w:val="Subtitle"/>
    <w:basedOn w:val="Heading1"/>
    <w:next w:val="Normal"/>
    <w:link w:val="SubtitleChar"/>
    <w:uiPriority w:val="11"/>
    <w:qFormat/>
    <w:rsid w:val="008668A4"/>
    <w:pPr>
      <w:spacing w:after="360" w:line="240" w:lineRule="auto"/>
    </w:pPr>
    <w:rPr>
      <w:sz w:val="28"/>
      <w:szCs w:val="28"/>
    </w:rPr>
  </w:style>
  <w:style w:type="character" w:customStyle="1" w:styleId="SubtitleChar">
    <w:name w:val="Subtitle Char"/>
    <w:basedOn w:val="DefaultParagraphFont"/>
    <w:link w:val="Subtitle"/>
    <w:uiPriority w:val="11"/>
    <w:rsid w:val="008668A4"/>
    <w:rPr>
      <w:rFonts w:ascii="Arial" w:eastAsia="Times New Roman" w:hAnsi="Arial" w:cs="Arial"/>
      <w:b/>
      <w:bCs/>
      <w:color w:val="215868"/>
      <w:sz w:val="28"/>
      <w:szCs w:val="28"/>
      <w:lang w:val="en-US" w:eastAsia="he-IL"/>
    </w:rPr>
  </w:style>
  <w:style w:type="paragraph" w:customStyle="1" w:styleId="firstpagefooter">
    <w:name w:val="firstpagefooter"/>
    <w:basedOn w:val="BodyText"/>
    <w:qFormat/>
    <w:rsid w:val="0033587C"/>
    <w:pPr>
      <w:pBdr>
        <w:top w:val="single" w:sz="4" w:space="5" w:color="auto"/>
        <w:left w:val="single" w:sz="4" w:space="4" w:color="auto"/>
        <w:bottom w:val="single" w:sz="4" w:space="6" w:color="auto"/>
        <w:right w:val="single" w:sz="4" w:space="4" w:color="auto"/>
      </w:pBdr>
      <w:spacing w:before="120" w:after="0" w:line="240" w:lineRule="auto"/>
      <w:jc w:val="center"/>
    </w:pPr>
  </w:style>
  <w:style w:type="paragraph" w:styleId="NormalWeb">
    <w:name w:val="Normal (Web)"/>
    <w:basedOn w:val="Normal"/>
    <w:uiPriority w:val="99"/>
    <w:semiHidden/>
    <w:unhideWhenUsed/>
    <w:rsid w:val="00AA76A7"/>
    <w:pPr>
      <w:spacing w:before="100" w:beforeAutospacing="1" w:after="100" w:afterAutospacing="1" w:line="240" w:lineRule="auto"/>
    </w:pPr>
    <w:rPr>
      <w:rFonts w:ascii="Times New Roman" w:hAnsi="Times New Roman" w:cs="Times New Roman"/>
      <w:lang w:eastAsia="en-US"/>
    </w:rPr>
  </w:style>
  <w:style w:type="paragraph" w:styleId="Revision">
    <w:name w:val="Revision"/>
    <w:hidden/>
    <w:uiPriority w:val="99"/>
    <w:semiHidden/>
    <w:rsid w:val="00185E72"/>
    <w:pPr>
      <w:spacing w:after="0" w:line="240" w:lineRule="auto"/>
    </w:pPr>
  </w:style>
  <w:style w:type="table" w:styleId="TableGrid">
    <w:name w:val="Table Grid"/>
    <w:basedOn w:val="TableNormal"/>
    <w:uiPriority w:val="59"/>
    <w:unhideWhenUsed/>
    <w:rsid w:val="00BF6A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פסקה1"/>
    <w:basedOn w:val="Normal"/>
    <w:rsid w:val="00CA43DA"/>
    <w:pPr>
      <w:tabs>
        <w:tab w:val="left" w:pos="851"/>
      </w:tabs>
      <w:bidi/>
      <w:spacing w:before="120" w:after="0" w:line="300" w:lineRule="atLeast"/>
      <w:ind w:left="738" w:hanging="284"/>
      <w:jc w:val="both"/>
    </w:pPr>
    <w:rPr>
      <w:rFonts w:ascii="Times New Roman" w:hAnsi="Times New Roman" w:cs="David"/>
      <w:b/>
      <w:bCs/>
      <w:sz w:val="26"/>
      <w:lang w:eastAsia="en-US"/>
    </w:rPr>
  </w:style>
  <w:style w:type="paragraph" w:customStyle="1" w:styleId="shaded">
    <w:name w:val="shaded"/>
    <w:basedOn w:val="tablecolumn"/>
    <w:qFormat/>
    <w:rsid w:val="00CC7E58"/>
    <w:pPr>
      <w:spacing w:before="80" w:after="80" w:line="240" w:lineRule="auto"/>
    </w:pPr>
    <w:rPr>
      <w:rFonts w:asciiTheme="minorBidi" w:hAnsiTheme="minorBidi" w:cstheme="minorBidi"/>
    </w:rPr>
  </w:style>
  <w:style w:type="paragraph" w:customStyle="1" w:styleId="diagram">
    <w:name w:val="diagram"/>
    <w:basedOn w:val="BodyText"/>
    <w:qFormat/>
    <w:rsid w:val="00C21133"/>
    <w:pPr>
      <w:spacing w:after="280" w:line="240" w:lineRule="auto"/>
      <w:jc w:val="center"/>
    </w:pPr>
    <w:rPr>
      <w:sz w:val="24"/>
      <w:szCs w:val="24"/>
    </w:rPr>
  </w:style>
  <w:style w:type="paragraph" w:customStyle="1" w:styleId="fn2">
    <w:name w:val="fn2"/>
    <w:basedOn w:val="FootnoteText"/>
    <w:qFormat/>
    <w:rsid w:val="00FB28F9"/>
    <w:pPr>
      <w:ind w:firstLine="7"/>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F45"/>
    <w:pPr>
      <w:spacing w:after="120" w:line="360" w:lineRule="auto"/>
    </w:pPr>
    <w:rPr>
      <w:rFonts w:ascii="Arial" w:eastAsia="Times New Roman" w:hAnsi="Arial" w:cs="Arial"/>
      <w:sz w:val="24"/>
      <w:szCs w:val="24"/>
      <w:lang w:val="en-US" w:eastAsia="he-IL"/>
    </w:rPr>
  </w:style>
  <w:style w:type="paragraph" w:styleId="Heading1">
    <w:name w:val="heading 1"/>
    <w:basedOn w:val="Head1Release"/>
    <w:next w:val="text1"/>
    <w:link w:val="Heading1Char"/>
    <w:qFormat/>
    <w:rsid w:val="008A5AC5"/>
    <w:pPr>
      <w:outlineLvl w:val="0"/>
    </w:pPr>
    <w:rPr>
      <w:snapToGrid/>
      <w:sz w:val="32"/>
      <w:szCs w:val="32"/>
    </w:rPr>
  </w:style>
  <w:style w:type="paragraph" w:styleId="Heading2">
    <w:name w:val="heading 2"/>
    <w:basedOn w:val="Head2Release"/>
    <w:next w:val="text1"/>
    <w:link w:val="Heading2Char"/>
    <w:uiPriority w:val="9"/>
    <w:unhideWhenUsed/>
    <w:qFormat/>
    <w:rsid w:val="000F495A"/>
    <w:pPr>
      <w:spacing w:before="240" w:after="200" w:line="240" w:lineRule="auto"/>
      <w:jc w:val="left"/>
      <w:outlineLvl w:val="1"/>
    </w:pPr>
    <w:rPr>
      <w:color w:val="31849B" w:themeColor="accent5" w:themeShade="BF"/>
      <w:szCs w:val="26"/>
    </w:rPr>
  </w:style>
  <w:style w:type="paragraph" w:styleId="Heading3">
    <w:name w:val="heading 3"/>
    <w:next w:val="text1"/>
    <w:link w:val="Heading3Char"/>
    <w:uiPriority w:val="9"/>
    <w:unhideWhenUsed/>
    <w:qFormat/>
    <w:rsid w:val="00975F45"/>
    <w:pPr>
      <w:spacing w:after="120" w:line="360" w:lineRule="auto"/>
      <w:outlineLvl w:val="2"/>
    </w:pPr>
    <w:rPr>
      <w:rFonts w:ascii="Arial" w:eastAsia="Times New Roman" w:hAnsi="Arial" w:cs="Arial"/>
      <w:b/>
      <w:sz w:val="24"/>
      <w:szCs w:val="24"/>
      <w:lang w:val="en-US" w:eastAsia="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5AC5"/>
    <w:rPr>
      <w:rFonts w:ascii="Arial" w:eastAsia="Times New Roman" w:hAnsi="Arial" w:cs="Arial"/>
      <w:b/>
      <w:bCs/>
      <w:color w:val="215868"/>
      <w:sz w:val="32"/>
      <w:szCs w:val="32"/>
      <w:lang w:val="en-US" w:eastAsia="he-IL"/>
    </w:rPr>
  </w:style>
  <w:style w:type="paragraph" w:styleId="Header">
    <w:name w:val="header"/>
    <w:basedOn w:val="Normal"/>
    <w:link w:val="HeaderChar"/>
    <w:uiPriority w:val="99"/>
    <w:rsid w:val="00A25146"/>
    <w:pPr>
      <w:tabs>
        <w:tab w:val="center" w:pos="4153"/>
        <w:tab w:val="right" w:pos="8306"/>
      </w:tabs>
      <w:bidi/>
      <w:spacing w:after="0" w:line="240" w:lineRule="auto"/>
    </w:pPr>
    <w:rPr>
      <w:rFonts w:ascii="Times New Roman" w:hAnsi="Times New Roman" w:cs="David"/>
      <w:b/>
      <w:bCs/>
      <w:szCs w:val="26"/>
    </w:rPr>
  </w:style>
  <w:style w:type="character" w:customStyle="1" w:styleId="HeaderChar">
    <w:name w:val="Header Char"/>
    <w:basedOn w:val="DefaultParagraphFont"/>
    <w:link w:val="Header"/>
    <w:uiPriority w:val="99"/>
    <w:rsid w:val="00A25146"/>
    <w:rPr>
      <w:rFonts w:ascii="Times New Roman" w:eastAsia="Times New Roman" w:hAnsi="Times New Roman" w:cs="David"/>
      <w:b/>
      <w:bCs/>
      <w:sz w:val="24"/>
      <w:szCs w:val="26"/>
      <w:lang w:val="en-US" w:eastAsia="he-IL"/>
    </w:rPr>
  </w:style>
  <w:style w:type="paragraph" w:styleId="Footer">
    <w:name w:val="footer"/>
    <w:basedOn w:val="Normal"/>
    <w:link w:val="FooterChar"/>
    <w:uiPriority w:val="99"/>
    <w:rsid w:val="00A25146"/>
    <w:pPr>
      <w:tabs>
        <w:tab w:val="center" w:pos="4153"/>
        <w:tab w:val="right" w:pos="8306"/>
      </w:tabs>
      <w:bidi/>
      <w:spacing w:after="0" w:line="240" w:lineRule="auto"/>
    </w:pPr>
    <w:rPr>
      <w:rFonts w:ascii="Times New Roman" w:hAnsi="Times New Roman" w:cs="David"/>
      <w:b/>
      <w:bCs/>
      <w:szCs w:val="26"/>
    </w:rPr>
  </w:style>
  <w:style w:type="character" w:customStyle="1" w:styleId="FooterChar">
    <w:name w:val="Footer Char"/>
    <w:basedOn w:val="DefaultParagraphFont"/>
    <w:link w:val="Footer"/>
    <w:uiPriority w:val="99"/>
    <w:rsid w:val="00A25146"/>
    <w:rPr>
      <w:rFonts w:ascii="Times New Roman" w:eastAsia="Times New Roman" w:hAnsi="Times New Roman" w:cs="David"/>
      <w:b/>
      <w:bCs/>
      <w:sz w:val="24"/>
      <w:szCs w:val="26"/>
      <w:lang w:val="en-US" w:eastAsia="he-IL"/>
    </w:rPr>
  </w:style>
  <w:style w:type="character" w:styleId="PageNumber">
    <w:name w:val="page number"/>
    <w:basedOn w:val="DefaultParagraphFont"/>
    <w:rsid w:val="00A25146"/>
  </w:style>
  <w:style w:type="paragraph" w:styleId="FootnoteText">
    <w:name w:val="footnote text"/>
    <w:link w:val="FootnoteTextChar"/>
    <w:rsid w:val="00DB5CB5"/>
    <w:pPr>
      <w:spacing w:before="80" w:after="80" w:line="240" w:lineRule="auto"/>
      <w:ind w:left="173" w:hanging="173"/>
    </w:pPr>
    <w:rPr>
      <w:rFonts w:ascii="Arial" w:eastAsia="Times New Roman" w:hAnsi="Arial" w:cs="David"/>
      <w:sz w:val="24"/>
      <w:szCs w:val="24"/>
      <w:lang w:val="en-US" w:eastAsia="he-IL"/>
    </w:rPr>
  </w:style>
  <w:style w:type="character" w:customStyle="1" w:styleId="FootnoteTextChar">
    <w:name w:val="Footnote Text Char"/>
    <w:basedOn w:val="DefaultParagraphFont"/>
    <w:link w:val="FootnoteText"/>
    <w:rsid w:val="00DB5CB5"/>
    <w:rPr>
      <w:rFonts w:ascii="Arial" w:eastAsia="Times New Roman" w:hAnsi="Arial" w:cs="David"/>
      <w:sz w:val="24"/>
      <w:szCs w:val="24"/>
      <w:lang w:val="en-US" w:eastAsia="he-IL"/>
    </w:rPr>
  </w:style>
  <w:style w:type="character" w:styleId="FootnoteReference">
    <w:name w:val="footnote reference"/>
    <w:rsid w:val="00A25146"/>
    <w:rPr>
      <w:rFonts w:cs="Arial"/>
      <w:szCs w:val="20"/>
      <w:vertAlign w:val="superscript"/>
    </w:rPr>
  </w:style>
  <w:style w:type="paragraph" w:styleId="BodyText">
    <w:name w:val="Body Text"/>
    <w:aliases w:val="Body Text_Release"/>
    <w:link w:val="BodyTextChar"/>
    <w:qFormat/>
    <w:rsid w:val="00A25146"/>
    <w:pPr>
      <w:spacing w:after="120" w:line="360" w:lineRule="auto"/>
    </w:pPr>
    <w:rPr>
      <w:rFonts w:ascii="Arial" w:eastAsia="Times New Roman" w:hAnsi="Arial" w:cs="Arial"/>
      <w:lang w:val="en-US" w:eastAsia="he-IL"/>
    </w:rPr>
  </w:style>
  <w:style w:type="character" w:customStyle="1" w:styleId="BodyTextChar">
    <w:name w:val="Body Text Char"/>
    <w:aliases w:val="Body Text_Release Char"/>
    <w:basedOn w:val="DefaultParagraphFont"/>
    <w:link w:val="BodyText"/>
    <w:rsid w:val="00A25146"/>
    <w:rPr>
      <w:rFonts w:ascii="Arial" w:eastAsia="Times New Roman" w:hAnsi="Arial" w:cs="Arial"/>
      <w:lang w:val="en-US" w:eastAsia="he-IL"/>
    </w:rPr>
  </w:style>
  <w:style w:type="paragraph" w:customStyle="1" w:styleId="Head2Release">
    <w:name w:val="Head2_Release"/>
    <w:next w:val="BodyText"/>
    <w:qFormat/>
    <w:rsid w:val="00A25146"/>
    <w:pPr>
      <w:spacing w:after="120" w:line="360" w:lineRule="auto"/>
      <w:jc w:val="both"/>
    </w:pPr>
    <w:rPr>
      <w:rFonts w:ascii="Arial" w:eastAsia="Times New Roman" w:hAnsi="Arial" w:cs="Arial"/>
      <w:b/>
      <w:bCs/>
      <w:color w:val="215868"/>
      <w:sz w:val="26"/>
      <w:szCs w:val="28"/>
      <w:lang w:val="en-US" w:eastAsia="he-IL"/>
    </w:rPr>
  </w:style>
  <w:style w:type="paragraph" w:customStyle="1" w:styleId="Head3Release">
    <w:name w:val="Head3_Release"/>
    <w:next w:val="BodyText"/>
    <w:qFormat/>
    <w:rsid w:val="00A25146"/>
    <w:pPr>
      <w:spacing w:after="120" w:line="240" w:lineRule="auto"/>
    </w:pPr>
    <w:rPr>
      <w:rFonts w:ascii="Arial" w:eastAsia="Times New Roman" w:hAnsi="Arial" w:cs="Arial"/>
      <w:b/>
      <w:bCs/>
      <w:color w:val="215868"/>
      <w:sz w:val="24"/>
      <w:szCs w:val="26"/>
      <w:lang w:val="en-US" w:eastAsia="he-IL"/>
    </w:rPr>
  </w:style>
  <w:style w:type="paragraph" w:customStyle="1" w:styleId="Head1Release">
    <w:name w:val="Head1_Release"/>
    <w:next w:val="BodyText"/>
    <w:rsid w:val="00A25146"/>
    <w:pPr>
      <w:spacing w:after="0" w:line="360" w:lineRule="auto"/>
      <w:jc w:val="center"/>
    </w:pPr>
    <w:rPr>
      <w:rFonts w:ascii="Arial" w:eastAsia="Times New Roman" w:hAnsi="Arial" w:cs="Arial"/>
      <w:b/>
      <w:bCs/>
      <w:snapToGrid w:val="0"/>
      <w:color w:val="215868"/>
      <w:sz w:val="28"/>
      <w:szCs w:val="28"/>
      <w:lang w:val="en-US" w:eastAsia="he-IL"/>
    </w:rPr>
  </w:style>
  <w:style w:type="paragraph" w:customStyle="1" w:styleId="Head4Release">
    <w:name w:val="Head4Release"/>
    <w:next w:val="BodyText"/>
    <w:qFormat/>
    <w:rsid w:val="00681C68"/>
    <w:pPr>
      <w:spacing w:after="120" w:line="240" w:lineRule="auto"/>
    </w:pPr>
    <w:rPr>
      <w:rFonts w:ascii="Arial" w:eastAsia="Times New Roman" w:hAnsi="Arial" w:cs="Arial"/>
      <w:b/>
      <w:color w:val="215868"/>
      <w:lang w:val="en-US" w:eastAsia="he-IL"/>
    </w:rPr>
  </w:style>
  <w:style w:type="paragraph" w:customStyle="1" w:styleId="Bulletsbodytext">
    <w:name w:val="Bullets + body text"/>
    <w:qFormat/>
    <w:rsid w:val="000B294F"/>
    <w:pPr>
      <w:numPr>
        <w:numId w:val="1"/>
      </w:numPr>
      <w:spacing w:after="120" w:line="360" w:lineRule="auto"/>
      <w:jc w:val="both"/>
    </w:pPr>
    <w:rPr>
      <w:rFonts w:ascii="Arial" w:hAnsi="Arial" w:cs="Arial"/>
      <w:bCs/>
      <w:lang w:val="en-US"/>
    </w:rPr>
  </w:style>
  <w:style w:type="paragraph" w:styleId="BalloonText">
    <w:name w:val="Balloon Text"/>
    <w:basedOn w:val="Normal"/>
    <w:link w:val="BalloonTextChar"/>
    <w:uiPriority w:val="99"/>
    <w:semiHidden/>
    <w:unhideWhenUsed/>
    <w:rsid w:val="00A67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70B7"/>
    <w:rPr>
      <w:rFonts w:ascii="Tahoma" w:hAnsi="Tahoma" w:cs="Tahoma"/>
      <w:sz w:val="16"/>
      <w:szCs w:val="16"/>
    </w:rPr>
  </w:style>
  <w:style w:type="character" w:styleId="Hyperlink">
    <w:name w:val="Hyperlink"/>
    <w:basedOn w:val="DefaultParagraphFont"/>
    <w:uiPriority w:val="99"/>
    <w:unhideWhenUsed/>
    <w:rsid w:val="00195816"/>
    <w:rPr>
      <w:color w:val="0000FF" w:themeColor="hyperlink"/>
      <w:u w:val="single"/>
    </w:rPr>
  </w:style>
  <w:style w:type="paragraph" w:styleId="ListParagraph">
    <w:name w:val="List Paragraph"/>
    <w:basedOn w:val="Normal"/>
    <w:uiPriority w:val="34"/>
    <w:qFormat/>
    <w:rsid w:val="00195816"/>
    <w:pPr>
      <w:ind w:left="720"/>
      <w:contextualSpacing/>
    </w:pPr>
  </w:style>
  <w:style w:type="character" w:styleId="FollowedHyperlink">
    <w:name w:val="FollowedHyperlink"/>
    <w:basedOn w:val="DefaultParagraphFont"/>
    <w:uiPriority w:val="99"/>
    <w:semiHidden/>
    <w:unhideWhenUsed/>
    <w:rsid w:val="00DE77C3"/>
    <w:rPr>
      <w:color w:val="800080" w:themeColor="followedHyperlink"/>
      <w:u w:val="single"/>
    </w:rPr>
  </w:style>
  <w:style w:type="character" w:customStyle="1" w:styleId="Heading2Char">
    <w:name w:val="Heading 2 Char"/>
    <w:basedOn w:val="DefaultParagraphFont"/>
    <w:link w:val="Heading2"/>
    <w:uiPriority w:val="9"/>
    <w:rsid w:val="000F495A"/>
    <w:rPr>
      <w:rFonts w:ascii="Arial" w:eastAsia="Times New Roman" w:hAnsi="Arial" w:cs="Arial"/>
      <w:b/>
      <w:bCs/>
      <w:color w:val="31849B" w:themeColor="accent5" w:themeShade="BF"/>
      <w:sz w:val="26"/>
      <w:szCs w:val="26"/>
      <w:lang w:val="en-US" w:eastAsia="he-IL"/>
    </w:rPr>
  </w:style>
  <w:style w:type="character" w:customStyle="1" w:styleId="Heading3Char">
    <w:name w:val="Heading 3 Char"/>
    <w:basedOn w:val="DefaultParagraphFont"/>
    <w:link w:val="Heading3"/>
    <w:uiPriority w:val="9"/>
    <w:rsid w:val="00975F45"/>
    <w:rPr>
      <w:rFonts w:ascii="Arial" w:eastAsia="Times New Roman" w:hAnsi="Arial" w:cs="Arial"/>
      <w:b/>
      <w:sz w:val="24"/>
      <w:szCs w:val="24"/>
      <w:lang w:val="en-US" w:eastAsia="he-IL"/>
    </w:rPr>
  </w:style>
  <w:style w:type="paragraph" w:customStyle="1" w:styleId="bullet1">
    <w:name w:val="bullet1"/>
    <w:basedOn w:val="Bulletsbodytext"/>
    <w:qFormat/>
    <w:rsid w:val="008D0E34"/>
    <w:pPr>
      <w:jc w:val="left"/>
    </w:pPr>
    <w:rPr>
      <w:sz w:val="24"/>
      <w:szCs w:val="24"/>
    </w:rPr>
  </w:style>
  <w:style w:type="paragraph" w:customStyle="1" w:styleId="text1">
    <w:name w:val="text1"/>
    <w:basedOn w:val="BodyText"/>
    <w:qFormat/>
    <w:rsid w:val="00CF7EE0"/>
    <w:rPr>
      <w:sz w:val="24"/>
      <w:szCs w:val="24"/>
    </w:rPr>
  </w:style>
  <w:style w:type="paragraph" w:customStyle="1" w:styleId="flushright1">
    <w:name w:val="flushright1"/>
    <w:qFormat/>
    <w:rsid w:val="00DB5CB5"/>
    <w:pPr>
      <w:tabs>
        <w:tab w:val="right" w:pos="5529"/>
      </w:tabs>
      <w:spacing w:before="80" w:after="40" w:line="240" w:lineRule="auto"/>
      <w:jc w:val="right"/>
    </w:pPr>
    <w:rPr>
      <w:rFonts w:ascii="Arial" w:eastAsia="Times New Roman" w:hAnsi="Arial" w:cs="Arial"/>
      <w:sz w:val="24"/>
      <w:szCs w:val="24"/>
      <w:lang w:val="en-US" w:eastAsia="he-IL"/>
    </w:rPr>
  </w:style>
  <w:style w:type="paragraph" w:customStyle="1" w:styleId="flushright2">
    <w:name w:val="flushright2"/>
    <w:qFormat/>
    <w:rsid w:val="008D0E34"/>
    <w:pPr>
      <w:spacing w:after="40" w:line="240" w:lineRule="auto"/>
      <w:jc w:val="right"/>
    </w:pPr>
    <w:rPr>
      <w:rFonts w:ascii="Arial" w:eastAsia="Times New Roman" w:hAnsi="Arial" w:cs="Arial"/>
      <w:sz w:val="24"/>
      <w:szCs w:val="24"/>
      <w:lang w:val="en-US" w:eastAsia="he-IL"/>
    </w:rPr>
  </w:style>
  <w:style w:type="paragraph" w:customStyle="1" w:styleId="flushright3">
    <w:name w:val="flushright3"/>
    <w:qFormat/>
    <w:rsid w:val="008668A4"/>
    <w:pPr>
      <w:spacing w:after="280" w:line="240" w:lineRule="auto"/>
      <w:jc w:val="right"/>
    </w:pPr>
    <w:rPr>
      <w:rFonts w:ascii="Arial" w:hAnsi="Arial" w:cs="Arial"/>
      <w:sz w:val="24"/>
      <w:szCs w:val="24"/>
    </w:rPr>
  </w:style>
  <w:style w:type="paragraph" w:customStyle="1" w:styleId="footer1">
    <w:name w:val="footer1"/>
    <w:basedOn w:val="Footer"/>
    <w:qFormat/>
    <w:rsid w:val="009B55BC"/>
    <w:pPr>
      <w:pBdr>
        <w:top w:val="single" w:sz="4" w:space="6" w:color="auto"/>
      </w:pBdr>
      <w:bidi w:val="0"/>
      <w:spacing w:before="160" w:after="80"/>
      <w:jc w:val="center"/>
    </w:pPr>
    <w:rPr>
      <w:rFonts w:asciiTheme="minorBidi" w:hAnsiTheme="minorBidi" w:cstheme="minorBidi"/>
      <w:b w:val="0"/>
      <w:bCs w:val="0"/>
      <w:noProof/>
    </w:rPr>
  </w:style>
  <w:style w:type="paragraph" w:customStyle="1" w:styleId="footer2">
    <w:name w:val="footer2"/>
    <w:basedOn w:val="footer1"/>
    <w:qFormat/>
    <w:rsid w:val="009B55BC"/>
    <w:pPr>
      <w:spacing w:before="0" w:after="160"/>
    </w:pPr>
  </w:style>
  <w:style w:type="paragraph" w:customStyle="1" w:styleId="Pagenumber0">
    <w:name w:val="Pagenumber"/>
    <w:basedOn w:val="Footer"/>
    <w:qFormat/>
    <w:rsid w:val="00461392"/>
    <w:pPr>
      <w:bidi w:val="0"/>
      <w:jc w:val="center"/>
    </w:pPr>
    <w:rPr>
      <w:rFonts w:asciiTheme="minorBidi" w:hAnsiTheme="minorBidi" w:cstheme="minorBidi"/>
      <w:b w:val="0"/>
      <w:bCs w:val="0"/>
      <w:noProof/>
    </w:rPr>
  </w:style>
  <w:style w:type="paragraph" w:customStyle="1" w:styleId="diagramhead">
    <w:name w:val="diagramhead"/>
    <w:next w:val="text1"/>
    <w:qFormat/>
    <w:rsid w:val="005057A6"/>
    <w:pPr>
      <w:keepNext/>
      <w:spacing w:before="160" w:after="160" w:line="360" w:lineRule="auto"/>
      <w:jc w:val="center"/>
    </w:pPr>
    <w:rPr>
      <w:rFonts w:ascii="Arial" w:eastAsia="Times New Roman" w:hAnsi="Arial" w:cs="Arial"/>
      <w:b/>
      <w:bCs/>
      <w:sz w:val="24"/>
      <w:szCs w:val="24"/>
      <w:lang w:val="en-US" w:eastAsia="he-IL"/>
    </w:rPr>
  </w:style>
  <w:style w:type="paragraph" w:customStyle="1" w:styleId="tablehead">
    <w:name w:val="tablehead"/>
    <w:basedOn w:val="Normal"/>
    <w:qFormat/>
    <w:rsid w:val="00EF737D"/>
    <w:pPr>
      <w:keepNext/>
      <w:jc w:val="center"/>
    </w:pPr>
    <w:rPr>
      <w:b/>
      <w:bCs/>
    </w:rPr>
  </w:style>
  <w:style w:type="paragraph" w:customStyle="1" w:styleId="tablecolumn">
    <w:name w:val="tablecolumn"/>
    <w:basedOn w:val="Normal"/>
    <w:qFormat/>
    <w:rsid w:val="00FF0ACA"/>
    <w:pPr>
      <w:keepNext/>
      <w:spacing w:after="0"/>
    </w:pPr>
  </w:style>
  <w:style w:type="paragraph" w:customStyle="1" w:styleId="centertext">
    <w:name w:val="centertext"/>
    <w:basedOn w:val="text1"/>
    <w:qFormat/>
    <w:rsid w:val="0076611E"/>
    <w:pPr>
      <w:spacing w:before="120" w:after="320" w:line="240" w:lineRule="auto"/>
      <w:jc w:val="center"/>
    </w:pPr>
    <w:rPr>
      <w:noProof/>
    </w:rPr>
  </w:style>
  <w:style w:type="paragraph" w:customStyle="1" w:styleId="fnindent">
    <w:name w:val="fnindent"/>
    <w:basedOn w:val="FootnoteText"/>
    <w:qFormat/>
    <w:rsid w:val="007F44DC"/>
    <w:pPr>
      <w:ind w:firstLine="0"/>
    </w:pPr>
  </w:style>
  <w:style w:type="paragraph" w:styleId="Title">
    <w:name w:val="Title"/>
    <w:basedOn w:val="Heading1"/>
    <w:next w:val="Normal"/>
    <w:link w:val="TitleChar"/>
    <w:uiPriority w:val="10"/>
    <w:qFormat/>
    <w:rsid w:val="00347D52"/>
    <w:pPr>
      <w:spacing w:before="120" w:after="160" w:line="240" w:lineRule="auto"/>
    </w:pPr>
    <w:rPr>
      <w:sz w:val="28"/>
      <w:szCs w:val="28"/>
    </w:rPr>
  </w:style>
  <w:style w:type="character" w:customStyle="1" w:styleId="TitleChar">
    <w:name w:val="Title Char"/>
    <w:basedOn w:val="DefaultParagraphFont"/>
    <w:link w:val="Title"/>
    <w:uiPriority w:val="10"/>
    <w:rsid w:val="00347D52"/>
    <w:rPr>
      <w:rFonts w:ascii="Arial" w:eastAsia="Times New Roman" w:hAnsi="Arial" w:cs="Arial"/>
      <w:b/>
      <w:bCs/>
      <w:color w:val="215868"/>
      <w:sz w:val="28"/>
      <w:szCs w:val="28"/>
      <w:lang w:val="en-US" w:eastAsia="he-IL"/>
    </w:rPr>
  </w:style>
  <w:style w:type="paragraph" w:styleId="Subtitle">
    <w:name w:val="Subtitle"/>
    <w:basedOn w:val="Heading1"/>
    <w:next w:val="Normal"/>
    <w:link w:val="SubtitleChar"/>
    <w:uiPriority w:val="11"/>
    <w:qFormat/>
    <w:rsid w:val="008668A4"/>
    <w:pPr>
      <w:spacing w:after="360" w:line="240" w:lineRule="auto"/>
    </w:pPr>
    <w:rPr>
      <w:sz w:val="28"/>
      <w:szCs w:val="28"/>
    </w:rPr>
  </w:style>
  <w:style w:type="character" w:customStyle="1" w:styleId="SubtitleChar">
    <w:name w:val="Subtitle Char"/>
    <w:basedOn w:val="DefaultParagraphFont"/>
    <w:link w:val="Subtitle"/>
    <w:uiPriority w:val="11"/>
    <w:rsid w:val="008668A4"/>
    <w:rPr>
      <w:rFonts w:ascii="Arial" w:eastAsia="Times New Roman" w:hAnsi="Arial" w:cs="Arial"/>
      <w:b/>
      <w:bCs/>
      <w:color w:val="215868"/>
      <w:sz w:val="28"/>
      <w:szCs w:val="28"/>
      <w:lang w:val="en-US" w:eastAsia="he-IL"/>
    </w:rPr>
  </w:style>
  <w:style w:type="paragraph" w:customStyle="1" w:styleId="firstpagefooter">
    <w:name w:val="firstpagefooter"/>
    <w:basedOn w:val="BodyText"/>
    <w:qFormat/>
    <w:rsid w:val="0033587C"/>
    <w:pPr>
      <w:pBdr>
        <w:top w:val="single" w:sz="4" w:space="5" w:color="auto"/>
        <w:left w:val="single" w:sz="4" w:space="4" w:color="auto"/>
        <w:bottom w:val="single" w:sz="4" w:space="6" w:color="auto"/>
        <w:right w:val="single" w:sz="4" w:space="4" w:color="auto"/>
      </w:pBdr>
      <w:spacing w:before="120" w:after="0" w:line="240" w:lineRule="auto"/>
      <w:jc w:val="center"/>
    </w:pPr>
  </w:style>
  <w:style w:type="paragraph" w:styleId="NormalWeb">
    <w:name w:val="Normal (Web)"/>
    <w:basedOn w:val="Normal"/>
    <w:uiPriority w:val="99"/>
    <w:semiHidden/>
    <w:unhideWhenUsed/>
    <w:rsid w:val="00AA76A7"/>
    <w:pPr>
      <w:spacing w:before="100" w:beforeAutospacing="1" w:after="100" w:afterAutospacing="1" w:line="240" w:lineRule="auto"/>
    </w:pPr>
    <w:rPr>
      <w:rFonts w:ascii="Times New Roman" w:hAnsi="Times New Roman" w:cs="Times New Roman"/>
      <w:lang w:eastAsia="en-US"/>
    </w:rPr>
  </w:style>
  <w:style w:type="paragraph" w:styleId="Revision">
    <w:name w:val="Revision"/>
    <w:hidden/>
    <w:uiPriority w:val="99"/>
    <w:semiHidden/>
    <w:rsid w:val="00185E72"/>
    <w:pPr>
      <w:spacing w:after="0" w:line="240" w:lineRule="auto"/>
    </w:pPr>
  </w:style>
  <w:style w:type="table" w:styleId="TableGrid">
    <w:name w:val="Table Grid"/>
    <w:basedOn w:val="TableNormal"/>
    <w:uiPriority w:val="59"/>
    <w:unhideWhenUsed/>
    <w:rsid w:val="00BF6A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פסקה1"/>
    <w:basedOn w:val="Normal"/>
    <w:rsid w:val="00CA43DA"/>
    <w:pPr>
      <w:tabs>
        <w:tab w:val="left" w:pos="851"/>
      </w:tabs>
      <w:bidi/>
      <w:spacing w:before="120" w:after="0" w:line="300" w:lineRule="atLeast"/>
      <w:ind w:left="738" w:hanging="284"/>
      <w:jc w:val="both"/>
    </w:pPr>
    <w:rPr>
      <w:rFonts w:ascii="Times New Roman" w:hAnsi="Times New Roman" w:cs="David"/>
      <w:b/>
      <w:bCs/>
      <w:sz w:val="26"/>
      <w:lang w:eastAsia="en-US"/>
    </w:rPr>
  </w:style>
  <w:style w:type="paragraph" w:customStyle="1" w:styleId="shaded">
    <w:name w:val="shaded"/>
    <w:basedOn w:val="tablecolumn"/>
    <w:qFormat/>
    <w:rsid w:val="00CC7E58"/>
    <w:pPr>
      <w:spacing w:before="80" w:after="80" w:line="240" w:lineRule="auto"/>
    </w:pPr>
    <w:rPr>
      <w:rFonts w:asciiTheme="minorBidi" w:hAnsiTheme="minorBidi" w:cstheme="minorBidi"/>
    </w:rPr>
  </w:style>
  <w:style w:type="paragraph" w:customStyle="1" w:styleId="diagram">
    <w:name w:val="diagram"/>
    <w:basedOn w:val="BodyText"/>
    <w:qFormat/>
    <w:rsid w:val="00C21133"/>
    <w:pPr>
      <w:spacing w:after="280" w:line="240" w:lineRule="auto"/>
      <w:jc w:val="center"/>
    </w:pPr>
    <w:rPr>
      <w:sz w:val="24"/>
      <w:szCs w:val="24"/>
    </w:rPr>
  </w:style>
  <w:style w:type="paragraph" w:customStyle="1" w:styleId="fn2">
    <w:name w:val="fn2"/>
    <w:basedOn w:val="FootnoteText"/>
    <w:qFormat/>
    <w:rsid w:val="00FB28F9"/>
    <w:pPr>
      <w:ind w:firstLine="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1228643">
      <w:bodyDiv w:val="1"/>
      <w:marLeft w:val="0"/>
      <w:marRight w:val="0"/>
      <w:marTop w:val="0"/>
      <w:marBottom w:val="0"/>
      <w:divBdr>
        <w:top w:val="none" w:sz="0" w:space="0" w:color="auto"/>
        <w:left w:val="none" w:sz="0" w:space="0" w:color="auto"/>
        <w:bottom w:val="none" w:sz="0" w:space="0" w:color="auto"/>
        <w:right w:val="none" w:sz="0" w:space="0" w:color="auto"/>
      </w:divBdr>
    </w:div>
    <w:div w:id="1090078030">
      <w:bodyDiv w:val="1"/>
      <w:marLeft w:val="0"/>
      <w:marRight w:val="0"/>
      <w:marTop w:val="0"/>
      <w:marBottom w:val="0"/>
      <w:divBdr>
        <w:top w:val="none" w:sz="0" w:space="0" w:color="auto"/>
        <w:left w:val="none" w:sz="0" w:space="0" w:color="auto"/>
        <w:bottom w:val="none" w:sz="0" w:space="0" w:color="auto"/>
        <w:right w:val="none" w:sz="0" w:space="0" w:color="auto"/>
      </w:divBdr>
    </w:div>
    <w:div w:id="1541672963">
      <w:bodyDiv w:val="1"/>
      <w:marLeft w:val="0"/>
      <w:marRight w:val="0"/>
      <w:marTop w:val="0"/>
      <w:marBottom w:val="0"/>
      <w:divBdr>
        <w:top w:val="none" w:sz="0" w:space="0" w:color="auto"/>
        <w:left w:val="none" w:sz="0" w:space="0" w:color="auto"/>
        <w:bottom w:val="none" w:sz="0" w:space="0" w:color="auto"/>
        <w:right w:val="none" w:sz="0" w:space="0" w:color="auto"/>
      </w:divBdr>
    </w:div>
    <w:div w:id="1981768219">
      <w:bodyDiv w:val="1"/>
      <w:marLeft w:val="0"/>
      <w:marRight w:val="0"/>
      <w:marTop w:val="0"/>
      <w:marBottom w:val="0"/>
      <w:divBdr>
        <w:top w:val="none" w:sz="0" w:space="0" w:color="auto"/>
        <w:left w:val="none" w:sz="0" w:space="0" w:color="auto"/>
        <w:bottom w:val="none" w:sz="0" w:space="0" w:color="auto"/>
        <w:right w:val="none" w:sz="0" w:space="0" w:color="auto"/>
      </w:divBdr>
    </w:div>
    <w:div w:id="1983846957">
      <w:bodyDiv w:val="1"/>
      <w:marLeft w:val="0"/>
      <w:marRight w:val="0"/>
      <w:marTop w:val="0"/>
      <w:marBottom w:val="0"/>
      <w:divBdr>
        <w:top w:val="none" w:sz="0" w:space="0" w:color="auto"/>
        <w:left w:val="none" w:sz="0" w:space="0" w:color="auto"/>
        <w:bottom w:val="none" w:sz="0" w:space="0" w:color="auto"/>
        <w:right w:val="none" w:sz="0" w:space="0" w:color="auto"/>
      </w:divBdr>
    </w:div>
    <w:div w:id="2127649308">
      <w:bodyDiv w:val="1"/>
      <w:marLeft w:val="0"/>
      <w:marRight w:val="0"/>
      <w:marTop w:val="0"/>
      <w:marBottom w:val="0"/>
      <w:divBdr>
        <w:top w:val="none" w:sz="0" w:space="0" w:color="auto"/>
        <w:left w:val="none" w:sz="0" w:space="0" w:color="auto"/>
        <w:bottom w:val="none" w:sz="0" w:space="0" w:color="auto"/>
        <w:right w:val="none" w:sz="0" w:space="0" w:color="auto"/>
      </w:divBdr>
      <w:divsChild>
        <w:div w:id="999697041">
          <w:marLeft w:val="0"/>
          <w:marRight w:val="0"/>
          <w:marTop w:val="0"/>
          <w:marBottom w:val="0"/>
          <w:divBdr>
            <w:top w:val="none" w:sz="0" w:space="0" w:color="auto"/>
            <w:left w:val="none" w:sz="0" w:space="0" w:color="auto"/>
            <w:bottom w:val="none" w:sz="0" w:space="0" w:color="auto"/>
            <w:right w:val="none" w:sz="0" w:space="0" w:color="auto"/>
          </w:divBdr>
          <w:divsChild>
            <w:div w:id="948463565">
              <w:marLeft w:val="0"/>
              <w:marRight w:val="0"/>
              <w:marTop w:val="0"/>
              <w:marBottom w:val="0"/>
              <w:divBdr>
                <w:top w:val="none" w:sz="0" w:space="0" w:color="auto"/>
                <w:left w:val="none" w:sz="0" w:space="0" w:color="auto"/>
                <w:bottom w:val="none" w:sz="0" w:space="0" w:color="auto"/>
                <w:right w:val="none" w:sz="0" w:space="0" w:color="auto"/>
              </w:divBdr>
              <w:divsChild>
                <w:div w:id="202173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image" Target="media/image7.jpeg"/><Relationship Id="rId26" Type="http://schemas.openxmlformats.org/officeDocument/2006/relationships/image" Target="media/image15.jpeg"/><Relationship Id="rId3" Type="http://schemas.openxmlformats.org/officeDocument/2006/relationships/customXml" Target="../customXml/item3.xml"/><Relationship Id="rId21" Type="http://schemas.openxmlformats.org/officeDocument/2006/relationships/image" Target="media/image10.jpeg"/><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image" Target="media/image14.jpe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image" Target="media/image9.jpe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13.jpe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image" Target="media/image12.jpeg"/><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8.png"/><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image" Target="media/image11.jpeg"/><Relationship Id="rId27" Type="http://schemas.openxmlformats.org/officeDocument/2006/relationships/header" Target="header1.xml"/><Relationship Id="rId30"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hyperlink" Target="https://www.cbs.gov.il/" TargetMode="External"/><Relationship Id="rId2" Type="http://schemas.openxmlformats.org/officeDocument/2006/relationships/hyperlink" Target="mailto:info@cbs.gov.il" TargetMode="External"/><Relationship Id="rId1" Type="http://schemas.openxmlformats.org/officeDocument/2006/relationships/image" Target="media/image1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bsDataSource xmlns="f37fff55-d014-472b-b062-823f736a4040" xsi:nil="true"/>
    <CbsDocArticleVariationRelUrlEng xmlns="f37fff55-d014-472b-b062-823f736a4040">/en/mediarelease/Pages/2020/The-Ethiopian-Population-in-Israel.aspx</CbsDocArticleVariationRelUrlEng>
    <CbsDocArticleVariationRelUrl xmlns="f37fff55-d014-472b-b062-823f736a4040">/he/mediarelease/Pages/2020/האוכלוסייה-ממוצא-אתיופי-בישראל-לקט-נתונים-לרגל-חג-הסיגד-.aspx</CbsDocArticleVariationRelUrl>
    <PublishingRollupImage xmlns="http://schemas.microsoft.com/sharepoint/v3" xsi:nil="true"/>
    <CbsOrderField xmlns="f37fff55-d014-472b-b062-823f736a4040">0</CbsOrderField>
    <CbsPublishingDocChapter xmlns="f37fff55-d014-472b-b062-823f736a4040" xsi:nil="true"/>
    <CbsHide xmlns="f37fff55-d014-472b-b062-823f736a4040" xsi:nil="true"/>
    <CbsEnglishTitle xmlns="f37fff55-d014-472b-b062-823f736a4040">The Population of Ethiopian Origin in Israel: Selected Data Published on the Occasion of the Sigd Festival</CbsEnglishTitle>
    <CbsPublishingDocSubjectEng xmlns="f37fff55-d014-472b-b062-823f736a4040" xsi:nil="true"/>
    <CbsPublishingDocChapterEng xmlns="f37fff55-d014-472b-b062-823f736a4040" xsi:nil="true"/>
    <CbsDataPublishDate xmlns="f37fff55-d014-472b-b062-823f736a4040">2020-11-11T11:00:00+00:00</CbsDataPublishDate>
    <CbsPublishingDocSubject xmlns="f37fff55-d014-472b-b062-823f736a4040" xsi:nil="true"/>
    <eWaveListOrderValue xmlns="http://schemas.microsoft.com/sharepoint/v3" xsi:nil="true"/>
    <badce114fb994f27a777030e336d1efa xmlns="f37fff55-d014-472b-b062-823f736a4040">
      <Terms xmlns="http://schemas.microsoft.com/office/infopath/2007/PartnerControls">
        <TermInfo xmlns="http://schemas.microsoft.com/office/infopath/2007/PartnerControls">
          <TermName xmlns="http://schemas.microsoft.com/office/infopath/2007/PartnerControls">אוכלוסייה</TermName>
          <TermId xmlns="http://schemas.microsoft.com/office/infopath/2007/PartnerControls">c1b801ff-274e-491c-b2de-20ef44975e0a</TermId>
        </TermInfo>
        <TermInfo xmlns="http://schemas.microsoft.com/office/infopath/2007/PartnerControls">
          <TermName xmlns="http://schemas.microsoft.com/office/infopath/2007/PartnerControls"> תכונות דמוגרפיות</TermName>
          <TermId xmlns="http://schemas.microsoft.com/office/infopath/2007/PartnerControls">d50058ed-ab7a-43f1-8fec-7190e163e021</TermId>
        </TermInfo>
        <TermInfo xmlns="http://schemas.microsoft.com/office/infopath/2007/PartnerControls">
          <TermName xmlns="http://schemas.microsoft.com/office/infopath/2007/PartnerControls"> משקי בית</TermName>
          <TermId xmlns="http://schemas.microsoft.com/office/infopath/2007/PartnerControls">41560b8c-2f8d-4b2a-aa7c-3f8ab9765d10</TermId>
        </TermInfo>
        <TermInfo xmlns="http://schemas.microsoft.com/office/infopath/2007/PartnerControls">
          <TermName xmlns="http://schemas.microsoft.com/office/infopath/2007/PartnerControls"> אוכלוסייה לפי מוצא</TermName>
          <TermId xmlns="http://schemas.microsoft.com/office/infopath/2007/PartnerControls">dc7a4bb8-6d38-426c-a428-7dfaf6d4f3fe</TermId>
        </TermInfo>
        <TermInfo xmlns="http://schemas.microsoft.com/office/infopath/2007/PartnerControls">
          <TermName xmlns="http://schemas.microsoft.com/office/infopath/2007/PartnerControls"> תפרוסת גאוגרפית</TermName>
          <TermId xmlns="http://schemas.microsoft.com/office/infopath/2007/PartnerControls">42494796-41ed-4e4a-95c2-c33df452209e</TermId>
        </TermInfo>
        <TermInfo xmlns="http://schemas.microsoft.com/office/infopath/2007/PartnerControls">
          <TermName xmlns="http://schemas.microsoft.com/office/infopath/2007/PartnerControls"> ילודה ופריון</TermName>
          <TermId xmlns="http://schemas.microsoft.com/office/infopath/2007/PartnerControls">da14dcd3-3a7f-4748-8653-249eb9389746</TermId>
        </TermInfo>
        <TermInfo xmlns="http://schemas.microsoft.com/office/infopath/2007/PartnerControls">
          <TermName xmlns="http://schemas.microsoft.com/office/infopath/2007/PartnerControls"> עלייה לישראל</TermName>
          <TermId xmlns="http://schemas.microsoft.com/office/infopath/2007/PartnerControls">30aa4a8c-979b-452d-9eda-6bc3fc378c67</TermId>
        </TermInfo>
        <TermInfo xmlns="http://schemas.microsoft.com/office/infopath/2007/PartnerControls">
          <TermName xmlns="http://schemas.microsoft.com/office/infopath/2007/PartnerControls"> משקי בית ומשפחות</TermName>
          <TermId xmlns="http://schemas.microsoft.com/office/infopath/2007/PartnerControls">d344cc4b-06f9-4901-9bd1-df36694e0071</TermId>
        </TermInfo>
        <TermInfo xmlns="http://schemas.microsoft.com/office/infopath/2007/PartnerControls">
          <TermName xmlns="http://schemas.microsoft.com/office/infopath/2007/PartnerControls"> משפחות</TermName>
          <TermId xmlns="http://schemas.microsoft.com/office/infopath/2007/PartnerControls">93a5b936-d936-43d9-b078-055f2cb60716</TermId>
        </TermInfo>
        <TermInfo xmlns="http://schemas.microsoft.com/office/infopath/2007/PartnerControls">
          <TermName xmlns="http://schemas.microsoft.com/office/infopath/2007/PartnerControls"> משפחות עם עולים</TermName>
          <TermId xmlns="http://schemas.microsoft.com/office/infopath/2007/PartnerControls">175b0a63-e84e-4182-9059-3f7165908169</TermId>
        </TermInfo>
        <TermInfo xmlns="http://schemas.microsoft.com/office/infopath/2007/PartnerControls">
          <TermName xmlns="http://schemas.microsoft.com/office/infopath/2007/PartnerControls"> חינוך והשכלה</TermName>
          <TermId xmlns="http://schemas.microsoft.com/office/infopath/2007/PartnerControls">ad873a80-65e1-4859-8ec8-98788f4c665f</TermId>
        </TermInfo>
        <TermInfo xmlns="http://schemas.microsoft.com/office/infopath/2007/PartnerControls">
          <TermName xmlns="http://schemas.microsoft.com/office/infopath/2007/PartnerControls"> חינוך יסודי</TermName>
          <TermId xmlns="http://schemas.microsoft.com/office/infopath/2007/PartnerControls">d7f8ab4c-2f34-4a03-8299-156a4e685eb3</TermId>
        </TermInfo>
        <TermInfo xmlns="http://schemas.microsoft.com/office/infopath/2007/PartnerControls">
          <TermName xmlns="http://schemas.microsoft.com/office/infopath/2007/PartnerControls"> חינוך על-יסודי</TermName>
          <TermId xmlns="http://schemas.microsoft.com/office/infopath/2007/PartnerControls">c1442d8f-0620-4af9-b936-745231af59fa</TermId>
        </TermInfo>
        <TermInfo xmlns="http://schemas.microsoft.com/office/infopath/2007/PartnerControls">
          <TermName xmlns="http://schemas.microsoft.com/office/infopath/2007/PartnerControls"> השכלה גבוהה</TermName>
          <TermId xmlns="http://schemas.microsoft.com/office/infopath/2007/PartnerControls">a389128a-89a1-4682-b28e-a0c506de0bfb</TermId>
        </TermInfo>
      </Terms>
    </badce114fb994f27a777030e336d1efa>
    <CbsMadadPublishDate xmlns="f37fff55-d014-472b-b062-823f736a4040" xsi:nil="true"/>
    <ArticleStartDate xmlns="http://schemas.microsoft.com/sharepoint/v3" xsi:nil="true"/>
    <CbsPublishingDocChapterAr xmlns="f37fff55-d014-472b-b062-823f736a404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מסמך פרסום למס" ma:contentTypeID="0x01010018C65C5FFA1A411CB733A36D5E05D176005EC8771B28134F43A3AE7296363CCDAA0012EE8DAAB84E594CBB34D7852AC42FC4" ma:contentTypeVersion="70" ma:contentTypeDescription="צור מסמך חדש." ma:contentTypeScope="" ma:versionID="cb6c7fa6d610bc6cb7a456680cf8fd62">
  <xsd:schema xmlns:xsd="http://www.w3.org/2001/XMLSchema" xmlns:xs="http://www.w3.org/2001/XMLSchema" xmlns:p="http://schemas.microsoft.com/office/2006/metadata/properties" xmlns:ns1="http://schemas.microsoft.com/sharepoint/v3" xmlns:ns2="f37fff55-d014-472b-b062-823f736a4040" targetNamespace="http://schemas.microsoft.com/office/2006/metadata/properties" ma:root="true" ma:fieldsID="a30b15dec48d1fda5e9a372994946a33" ns1:_="" ns2:_="">
    <xsd:import namespace="http://schemas.microsoft.com/sharepoint/v3"/>
    <xsd:import namespace="f37fff55-d014-472b-b062-823f736a4040"/>
    <xsd:element name="properties">
      <xsd:complexType>
        <xsd:sequence>
          <xsd:element name="documentManagement">
            <xsd:complexType>
              <xsd:all>
                <xsd:element ref="ns2:CbsDataPublishDate" minOccurs="0"/>
                <xsd:element ref="ns2:CbsPublishingDocSubject" minOccurs="0"/>
                <xsd:element ref="ns2:CbsPublishingDocChapter" minOccurs="0"/>
                <xsd:element ref="ns2:CbsDocArticleVariationRelUrl" minOccurs="0"/>
                <xsd:element ref="ns2:CbsPublishingDocSubjectEng" minOccurs="0"/>
                <xsd:element ref="ns2:CbsPublishingDocChapterEng" minOccurs="0"/>
                <xsd:element ref="ns2:CbsOrderField" minOccurs="0"/>
                <xsd:element ref="ns2:CbsHide" minOccurs="0"/>
                <xsd:element ref="ns2:badce114fb994f27a777030e336d1efa" minOccurs="0"/>
                <xsd:element ref="ns1:PublishingRollupImage" minOccurs="0"/>
                <xsd:element ref="ns1:eWaveListOrderValue" minOccurs="0"/>
                <xsd:element ref="ns2:CbsEnglishTitle" minOccurs="0"/>
                <xsd:element ref="ns2:CbsDocArticleVariationRelUrlEng" minOccurs="0"/>
                <xsd:element ref="ns2:CbsDataSource" minOccurs="0"/>
                <xsd:element ref="ns2:CbsMadadPublishDate" minOccurs="0"/>
                <xsd:element ref="ns1:ArticleStartDate" minOccurs="0"/>
                <xsd:element ref="ns2:CbsPublishingDocChapter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RollupImage" ma:index="26" nillable="true" ma:displayName="תמונת סיכום" ma:description="'תמונת סיכום' הוא עמודת אתר שיוצרת תכונת הפרסום. היא משמשת בסוג תוכן הדף כתמונה של הדף באוספי תוכן כגון ה- Web Part של תוכן לפי חיפוש." ma:internalName="PublishingRollupImage">
      <xsd:simpleType>
        <xsd:restriction base="dms:Unknown"/>
      </xsd:simpleType>
    </xsd:element>
    <xsd:element name="eWaveListOrderValue" ma:index="27" nillable="true" ma:displayName="סידור" ma:decimals="2" ma:internalName="eWaveListOrderValue" ma:readOnly="false">
      <xsd:simpleType>
        <xsd:restriction base="dms:Number"/>
      </xsd:simpleType>
    </xsd:element>
    <xsd:element name="ArticleStartDate" ma:index="35" nillable="true" ma:displayName="תאריך מאמר" ma:description="'תאריך המאמר' הוא עמודת אתר שיוצרת תכונת הפרסום. היא משמשת בסוג תוכן דף המאמר כתאריך של הדף." ma:format="DateOnly" ma:internalName="ArticleStar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37fff55-d014-472b-b062-823f736a4040" elementFormDefault="qualified">
    <xsd:import namespace="http://schemas.microsoft.com/office/2006/documentManagement/types"/>
    <xsd:import namespace="http://schemas.microsoft.com/office/infopath/2007/PartnerControls"/>
    <xsd:element name="CbsDataPublishDate" ma:index="8" nillable="true" ma:displayName="תאריך פרסום הנתונים" ma:internalName="CbsDataPublishDate" ma:readOnly="false">
      <xsd:simpleType>
        <xsd:restriction base="dms:DateTime"/>
      </xsd:simpleType>
    </xsd:element>
    <xsd:element name="CbsPublishingDocSubject" ma:index="10" nillable="true" ma:displayName="שם נושא עברית" ma:internalName="CbsPublishingDocSubject" ma:readOnly="false">
      <xsd:simpleType>
        <xsd:restriction base="dms:Text"/>
      </xsd:simpleType>
    </xsd:element>
    <xsd:element name="CbsPublishingDocChapter" ma:index="11" nillable="true" ma:displayName="שם פרק עברית" ma:internalName="CbsPublishingDocChapter" ma:readOnly="false">
      <xsd:simpleType>
        <xsd:restriction base="dms:Text"/>
      </xsd:simpleType>
    </xsd:element>
    <xsd:element name="CbsDocArticleVariationRelUrl" ma:index="12" nillable="true" ma:displayName="קישור מאמר עברית" ma:internalName="CbsDocArticleVariationRelUrl" ma:readOnly="false">
      <xsd:simpleType>
        <xsd:restriction base="dms:Text"/>
      </xsd:simpleType>
    </xsd:element>
    <xsd:element name="CbsPublishingDocSubjectEng" ma:index="13" nillable="true" ma:displayName="שם נושא אנגלית" ma:internalName="CbsPublishingDocSubjectEng" ma:readOnly="false">
      <xsd:simpleType>
        <xsd:restriction base="dms:Text"/>
      </xsd:simpleType>
    </xsd:element>
    <xsd:element name="CbsPublishingDocChapterEng" ma:index="14" nillable="true" ma:displayName="שם פרק אנגלית" ma:internalName="CbsPublishingDocChapterEng" ma:readOnly="false">
      <xsd:simpleType>
        <xsd:restriction base="dms:Text"/>
      </xsd:simpleType>
    </xsd:element>
    <xsd:element name="CbsOrderField" ma:index="15" nillable="true" ma:displayName="סדר" ma:internalName="CbsOrderField" ma:readOnly="false">
      <xsd:simpleType>
        <xsd:restriction base="dms:Number"/>
      </xsd:simpleType>
    </xsd:element>
    <xsd:element name="CbsHide" ma:index="16" nillable="true" ma:displayName="הסתר" ma:internalName="CbsHide" ma:readOnly="false">
      <xsd:simpleType>
        <xsd:restriction base="dms:Boolean"/>
      </xsd:simpleType>
    </xsd:element>
    <xsd:element name="badce114fb994f27a777030e336d1efa" ma:index="17" nillable="true" ma:taxonomy="true" ma:internalName="badce114fb994f27a777030e336d1efa" ma:taxonomyFieldName="CbsMMDSubjects" ma:displayName="נושאים" ma:readOnly="false" ma:fieldId="badce114-fb99-4f27-a777-030e336d1efa" ma:taxonomyMulti="true" ma:sspId="3561f26f-b765-481f-a768-7c7417e4a021" ma:termSetId="d7f67748-0ad2-4e38-bb9f-75af97b01185" ma:anchorId="00000000-0000-0000-0000-000000000000" ma:open="true" ma:isKeyword="false">
      <xsd:complexType>
        <xsd:sequence>
          <xsd:element ref="pc:Terms" minOccurs="0" maxOccurs="1"/>
        </xsd:sequence>
      </xsd:complexType>
    </xsd:element>
    <xsd:element name="CbsEnglishTitle" ma:index="28" nillable="true" ma:displayName="כותרת אנגלית" ma:internalName="CbsEnglishTitle" ma:readOnly="false">
      <xsd:simpleType>
        <xsd:restriction base="dms:Text"/>
      </xsd:simpleType>
    </xsd:element>
    <xsd:element name="CbsDocArticleVariationRelUrlEng" ma:index="29" nillable="true" ma:displayName="קישור למאמר אנגלית" ma:internalName="CbsDocArticleVariationRelUrlEng" ma:readOnly="false">
      <xsd:simpleType>
        <xsd:restriction base="dms:Text"/>
      </xsd:simpleType>
    </xsd:element>
    <xsd:element name="CbsDataSource" ma:index="31" nillable="true" ma:displayName="תיקיה לדרופ דאון" ma:internalName="CbsDataSource" ma:readOnly="false">
      <xsd:simpleType>
        <xsd:restriction base="dms:Text"/>
      </xsd:simpleType>
    </xsd:element>
    <xsd:element name="CbsMadadPublishDate" ma:index="34" nillable="true" ma:displayName="תאריך הצגה" ma:internalName="CbsMadadPublishDate" ma:readOnly="false">
      <xsd:simpleType>
        <xsd:restriction base="dms:DateTime"/>
      </xsd:simpleType>
    </xsd:element>
    <xsd:element name="CbsPublishingDocChapterAr" ma:index="36" nillable="true" ma:displayName="כותרת בערבית" ma:internalName="CbsPublishingDocChapterA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12C0F8-4B1C-4337-B1B0-492055C456FE}"/>
</file>

<file path=customXml/itemProps2.xml><?xml version="1.0" encoding="utf-8"?>
<ds:datastoreItem xmlns:ds="http://schemas.openxmlformats.org/officeDocument/2006/customXml" ds:itemID="{14607E1C-2BFF-4EB1-B5F0-5F6296A11D76}"/>
</file>

<file path=customXml/itemProps3.xml><?xml version="1.0" encoding="utf-8"?>
<ds:datastoreItem xmlns:ds="http://schemas.openxmlformats.org/officeDocument/2006/customXml" ds:itemID="{458B38BE-F10D-4DDB-A15D-8CA62112AAA5}"/>
</file>

<file path=customXml/itemProps4.xml><?xml version="1.0" encoding="utf-8"?>
<ds:datastoreItem xmlns:ds="http://schemas.openxmlformats.org/officeDocument/2006/customXml" ds:itemID="{3B158D7B-E808-49CB-A09F-781122BEE753}"/>
</file>

<file path=docProps/app.xml><?xml version="1.0" encoding="utf-8"?>
<Properties xmlns="http://schemas.openxmlformats.org/officeDocument/2006/extended-properties" xmlns:vt="http://schemas.openxmlformats.org/officeDocument/2006/docPropsVTypes">
  <Template>Normal.dotm</Template>
  <TotalTime>0</TotalTime>
  <Pages>3</Pages>
  <Words>5298</Words>
  <Characters>26493</Characters>
  <Application>Microsoft Office Word</Application>
  <DocSecurity>4</DocSecurity>
  <Lines>220</Lines>
  <Paragraphs>63</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CBS</Company>
  <LinksUpToDate>false</LinksUpToDate>
  <CharactersWithSpaces>31728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Aliza Berger</dc:creator>
  <cp:lastModifiedBy>avishai cohen</cp:lastModifiedBy>
  <cp:revision>2</cp:revision>
  <cp:lastPrinted>2021-01-04T11:43:00Z</cp:lastPrinted>
  <dcterms:created xsi:type="dcterms:W3CDTF">2021-01-14T04:36:00Z</dcterms:created>
  <dcterms:modified xsi:type="dcterms:W3CDTF">2021-01-14T04:36:00Z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0x01010018C65C5FFA1A411CB733A36D5E05D176005EC8771B28134F43A3AE7296363CCDAA0012EE8DAAB84E594CBB34D7852AC42FC4</vt:lpwstr>
  </property>
  <property fmtid="{D5CDD505-2E9C-101B-9397-08002B2CF9AE}" pid="3" name="nfa41555e3464cf4bb914e89b71e6bff">
    <vt:lpwstr/>
  </property>
  <property fmtid="{D5CDD505-2E9C-101B-9397-08002B2CF9AE}" pid="4" name="k996ec15d8b84c25ab4ba497b8126068">
    <vt:lpwstr/>
  </property>
  <property fmtid="{D5CDD505-2E9C-101B-9397-08002B2CF9AE}" pid="5" name="CbsMMDSurveys">
    <vt:lpwstr/>
  </property>
  <property fmtid="{D5CDD505-2E9C-101B-9397-08002B2CF9AE}" pid="6" name="CbsMMDPublisher">
    <vt:lpwstr/>
  </property>
  <property fmtid="{D5CDD505-2E9C-101B-9397-08002B2CF9AE}" pid="7" name="le6ae3b316d345348c5a7081083b5f17">
    <vt:lpwstr/>
  </property>
  <property fmtid="{D5CDD505-2E9C-101B-9397-08002B2CF9AE}" pid="8" name="CbsMMDGatheringMethod">
    <vt:lpwstr/>
  </property>
  <property fmtid="{D5CDD505-2E9C-101B-9397-08002B2CF9AE}" pid="9" name="CbsMMDLanguages">
    <vt:lpwstr>23;#אנגלית|bcd2f785-9433-481a-8dea-af8b5faa5f5c</vt:lpwstr>
  </property>
  <property fmtid="{D5CDD505-2E9C-101B-9397-08002B2CF9AE}" pid="10" name="CbsMMDInterval">
    <vt:lpwstr>132;#שנתי|3aa65854-6eee-4c18-bea6-a232fd3cf6c6</vt:lpwstr>
  </property>
  <property fmtid="{D5CDD505-2E9C-101B-9397-08002B2CF9AE}" pid="11" name="d8f60aace6e84187b9d8167da15a966c">
    <vt:lpwstr/>
  </property>
  <property fmtid="{D5CDD505-2E9C-101B-9397-08002B2CF9AE}" pid="12" name="CbsMMDGeoDistribution">
    <vt:lpwstr/>
  </property>
  <property fmtid="{D5CDD505-2E9C-101B-9397-08002B2CF9AE}" pid="13" name="e963c9d311ab4da3b6cbc837a17bbe40">
    <vt:lpwstr/>
  </property>
  <property fmtid="{D5CDD505-2E9C-101B-9397-08002B2CF9AE}" pid="14" name="TaxCatchAll">
    <vt:lpwstr>184;# חינוך יסודי|d7f8ab4c-2f34-4a03-8299-156a4e685eb3;#72;# חינוך והשכלה|ad873a80-65e1-4859-8ec8-98788f4c665f;#29;#אוכלוסייה|c1b801ff-274e-491c-b2de-20ef44975e0a;#398;# אוכלוסייה לפי מוצא|dc7a4bb8-6d38-426c-a428-7dfaf6d4f3fe;#396;# משפחות עם עולים|175b0a63-e84e-4182-9059-3f7165908169;#135;# ילודה ופריון|da14dcd3-3a7f-4748-8653-249eb9389746;#23;#אנגלית|bcd2f785-9433-481a-8dea-af8b5faa5f5c;#26;#מאמר|2980ee55-44c4-4555-b313-39b30e741399;#132;#שנתי|3aa65854-6eee-4c18-bea6-a232fd3cf6c6;#55;# תכונות דמוגרפיות|d50058ed-ab7a-43f1-8fec-7190e163e021;#50;# השכלה גבוהה|a389128a-89a1-4682-b28e-a0c506de0bfb;#1011;# משקי בית|41560b8c-2f8d-4b2a-aa7c-3f8ab9765d10;#83;# משקי בית ומשפחות|d344cc4b-06f9-4901-9bd1-df36694e0071;#226;# תפרוסת גאוגרפית|42494796-41ed-4e4a-95c2-c33df452209e;#137;# חינוך על-יסודי|c1442d8f-0620-4af9-b936-745231af59fa;#39;# עלייה לישראל|30aa4a8c-979b-452d-9eda-6bc3fc378c67;#223;# משפחות|93a5b936-d936-43d9-b078-055f2cb60716</vt:lpwstr>
  </property>
  <property fmtid="{D5CDD505-2E9C-101B-9397-08002B2CF9AE}" pid="15" name="jb05328652cd4d188b8237060e08f6a6">
    <vt:lpwstr>מאמר|2980ee55-44c4-4555-b313-39b30e741399</vt:lpwstr>
  </property>
  <property fmtid="{D5CDD505-2E9C-101B-9397-08002B2CF9AE}" pid="16" name="CbsMMDItemType">
    <vt:lpwstr>26;#מאמר|2980ee55-44c4-4555-b313-39b30e741399</vt:lpwstr>
  </property>
  <property fmtid="{D5CDD505-2E9C-101B-9397-08002B2CF9AE}" pid="17" name="CbsMMDSettlements">
    <vt:lpwstr/>
  </property>
  <property fmtid="{D5CDD505-2E9C-101B-9397-08002B2CF9AE}" pid="18" name="fa130405dbd9451c89aaf40a75fe388c">
    <vt:lpwstr/>
  </property>
  <property fmtid="{D5CDD505-2E9C-101B-9397-08002B2CF9AE}" pid="19" name="be7e4c0a87744fda8f9ec475d0d5383d">
    <vt:lpwstr/>
  </property>
  <property fmtid="{D5CDD505-2E9C-101B-9397-08002B2CF9AE}" pid="20" name="o2494bd4375f452fad1b646d6a811f44">
    <vt:lpwstr>שנתי|3aa65854-6eee-4c18-bea6-a232fd3cf6c6</vt:lpwstr>
  </property>
  <property fmtid="{D5CDD505-2E9C-101B-9397-08002B2CF9AE}" pid="21" name="CbsMMDSubjects">
    <vt:lpwstr>29;#אוכלוסייה|c1b801ff-274e-491c-b2de-20ef44975e0a;#55;# תכונות דמוגרפיות|d50058ed-ab7a-43f1-8fec-7190e163e021;#1011;# משקי בית|41560b8c-2f8d-4b2a-aa7c-3f8ab9765d10;#398;# אוכלוסייה לפי מוצא|dc7a4bb8-6d38-426c-a428-7dfaf6d4f3fe;#226;# תפרוסת גאוגרפית|42494796-41ed-4e4a-95c2-c33df452209e;#135;# ילודה ופריון|da14dcd3-3a7f-4748-8653-249eb9389746;#39;# עלייה לישראל|30aa4a8c-979b-452d-9eda-6bc3fc378c67;#83;# משקי בית ומשפחות|d344cc4b-06f9-4901-9bd1-df36694e0071;#223;# משפחות|93a5b936-d936-43d9-b078-055f2cb60716;#396;# משפחות עם עולים|175b0a63-e84e-4182-9059-3f7165908169;#72;# חינוך והשכלה|ad873a80-65e1-4859-8ec8-98788f4c665f;#184;# חינוך יסודי|d7f8ab4c-2f34-4a03-8299-156a4e685eb3;#137;# חינוך על-יסודי|c1442d8f-0620-4af9-b936-745231af59fa;#50;# השכלה גבוהה|a389128a-89a1-4682-b28e-a0c506de0bfb</vt:lpwstr>
  </property>
  <property fmtid="{D5CDD505-2E9C-101B-9397-08002B2CF9AE}" pid="22" name="CbsMMDLicense">
    <vt:lpwstr/>
  </property>
  <property fmtid="{D5CDD505-2E9C-101B-9397-08002B2CF9AE}" pid="23" name="d26306ee4df449b8a93fe89c272330c7">
    <vt:lpwstr/>
  </property>
  <property fmtid="{D5CDD505-2E9C-101B-9397-08002B2CF9AE}" pid="24" name="l2e12a95055c425a9be399caf84ebe5f">
    <vt:lpwstr>אנגלית|bcd2f785-9433-481a-8dea-af8b5faa5f5c</vt:lpwstr>
  </property>
  <property fmtid="{D5CDD505-2E9C-101B-9397-08002B2CF9AE}" pid="25" name="CbsMMDGlobalSubjects">
    <vt:lpwstr/>
  </property>
  <property fmtid="{D5CDD505-2E9C-101B-9397-08002B2CF9AE}" pid="26" name="CbsMMDForPublicationCSB">
    <vt:lpwstr/>
  </property>
  <property fmtid="{D5CDD505-2E9C-101B-9397-08002B2CF9AE}" pid="27" name="Order">
    <vt:r8>10553200</vt:r8>
  </property>
</Properties>
</file>