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1F851" w14:textId="5B0F4BD9" w:rsidR="002F3391" w:rsidRDefault="002F3391" w:rsidP="009A5B5D">
      <w:pPr>
        <w:pStyle w:val="flushright1"/>
        <w:spacing w:before="0" w:after="0"/>
      </w:pPr>
      <w:bookmarkStart w:id="0" w:name="_GoBack"/>
      <w:bookmarkEnd w:id="0"/>
      <w:r>
        <w:t>______________________________________________________________________________</w:t>
      </w:r>
    </w:p>
    <w:p w14:paraId="7730C089" w14:textId="197CF078" w:rsidR="007A6177" w:rsidRPr="00713A46" w:rsidRDefault="007A6177" w:rsidP="009A5B5D">
      <w:pPr>
        <w:pStyle w:val="flushright1"/>
        <w:spacing w:before="0" w:after="0"/>
      </w:pPr>
      <w:r w:rsidRPr="00341B18">
        <w:t>Jerusalem</w:t>
      </w:r>
    </w:p>
    <w:p w14:paraId="24573099" w14:textId="1331E83C" w:rsidR="007A6177" w:rsidRPr="00713A46" w:rsidRDefault="007A6177" w:rsidP="0010320F">
      <w:pPr>
        <w:pStyle w:val="flushright2"/>
        <w:spacing w:after="0"/>
      </w:pPr>
      <w:r w:rsidRPr="00341B18">
        <w:t>December 2</w:t>
      </w:r>
      <w:r w:rsidR="0010320F">
        <w:t>1</w:t>
      </w:r>
      <w:r w:rsidRPr="00341B18">
        <w:t xml:space="preserve">, </w:t>
      </w:r>
      <w:r w:rsidR="00A84F74" w:rsidRPr="00341B18">
        <w:t>20</w:t>
      </w:r>
      <w:r w:rsidR="00A84F74">
        <w:t>2</w:t>
      </w:r>
      <w:r w:rsidR="0010320F">
        <w:t>1</w:t>
      </w:r>
    </w:p>
    <w:p w14:paraId="3FF0158E" w14:textId="2FE33F81" w:rsidR="007A6177" w:rsidRPr="00713A46" w:rsidRDefault="00A84F74" w:rsidP="0010320F">
      <w:pPr>
        <w:pStyle w:val="flushright3"/>
        <w:spacing w:after="0"/>
      </w:pPr>
      <w:r w:rsidRPr="00341B18">
        <w:t>4</w:t>
      </w:r>
      <w:r w:rsidR="0010320F">
        <w:t>32</w:t>
      </w:r>
      <w:r w:rsidR="007A6177" w:rsidRPr="00341B18">
        <w:t>/</w:t>
      </w:r>
      <w:r w:rsidRPr="00341B18">
        <w:t>20</w:t>
      </w:r>
      <w:r>
        <w:t>2</w:t>
      </w:r>
      <w:r w:rsidR="0010320F">
        <w:t>1</w:t>
      </w:r>
    </w:p>
    <w:p w14:paraId="7877B65C" w14:textId="2E09B169" w:rsidR="007A6177" w:rsidRPr="00B46E88" w:rsidRDefault="007A6177" w:rsidP="00F06DE1">
      <w:pPr>
        <w:pStyle w:val="Heading1"/>
        <w:spacing w:before="120" w:after="120" w:line="240" w:lineRule="auto"/>
      </w:pPr>
      <w:r w:rsidRPr="00341B18">
        <w:t>Christmas 20</w:t>
      </w:r>
      <w:r w:rsidR="004150CC">
        <w:t>2</w:t>
      </w:r>
      <w:r w:rsidR="00F06DE1">
        <w:t>1</w:t>
      </w:r>
      <w:r w:rsidRPr="00341B18">
        <w:t xml:space="preserve"> </w:t>
      </w:r>
      <w:r w:rsidR="00D06B98">
        <w:t>-</w:t>
      </w:r>
      <w:r w:rsidRPr="00341B18">
        <w:t xml:space="preserve"> Christians in Israel</w:t>
      </w:r>
    </w:p>
    <w:p w14:paraId="2C711523" w14:textId="5DBA6FBB" w:rsidR="00FE6227" w:rsidRPr="00B46E88" w:rsidRDefault="00570BD8" w:rsidP="0010320F">
      <w:pPr>
        <w:pStyle w:val="bullet1"/>
        <w:spacing w:after="0"/>
      </w:pPr>
      <w:r w:rsidRPr="0010320F">
        <w:rPr>
          <w:b/>
          <w:bCs/>
        </w:rPr>
        <w:t>On the eve of Christmas 202</w:t>
      </w:r>
      <w:r w:rsidR="00F06DE1" w:rsidRPr="0010320F">
        <w:rPr>
          <w:b/>
          <w:bCs/>
        </w:rPr>
        <w:t>1</w:t>
      </w:r>
      <w:r w:rsidRPr="0010320F">
        <w:rPr>
          <w:b/>
          <w:bCs/>
        </w:rPr>
        <w:t>, approximately 18</w:t>
      </w:r>
      <w:r w:rsidR="00F06DE1" w:rsidRPr="0010320F">
        <w:rPr>
          <w:b/>
          <w:bCs/>
        </w:rPr>
        <w:t>2</w:t>
      </w:r>
      <w:r w:rsidRPr="0010320F">
        <w:rPr>
          <w:b/>
          <w:bCs/>
        </w:rPr>
        <w:t>,000 Christians</w:t>
      </w:r>
      <w:r w:rsidRPr="000A55D3">
        <w:rPr>
          <w:rStyle w:val="FootnoteReference"/>
          <w:szCs w:val="24"/>
        </w:rPr>
        <w:footnoteReference w:id="1"/>
      </w:r>
      <w:r w:rsidRPr="000A55D3">
        <w:t xml:space="preserve"> live in Israel; they comprise about </w:t>
      </w:r>
      <w:r w:rsidR="00F06DE1">
        <w:t>1.9</w:t>
      </w:r>
      <w:r w:rsidRPr="000A55D3">
        <w:t xml:space="preserve">% of the State of </w:t>
      </w:r>
      <w:r>
        <w:t>Israel’s</w:t>
      </w:r>
      <w:r w:rsidRPr="000A55D3">
        <w:t xml:space="preserve"> population.</w:t>
      </w:r>
      <w:r w:rsidR="0010320F">
        <w:t xml:space="preserve"> </w:t>
      </w:r>
      <w:r w:rsidR="00383BB1" w:rsidRPr="0010320F">
        <w:rPr>
          <w:b/>
          <w:bCs/>
        </w:rPr>
        <w:t>T</w:t>
      </w:r>
      <w:r w:rsidR="00FE6227" w:rsidRPr="0010320F">
        <w:rPr>
          <w:b/>
          <w:bCs/>
        </w:rPr>
        <w:t>he Christian population grew</w:t>
      </w:r>
      <w:r w:rsidR="00FE6227" w:rsidRPr="000A55D3">
        <w:t xml:space="preserve"> by </w:t>
      </w:r>
      <w:r w:rsidR="001D0AC9">
        <w:t>1.</w:t>
      </w:r>
      <w:r w:rsidR="0010320F">
        <w:t>4</w:t>
      </w:r>
      <w:r w:rsidR="00FE6227" w:rsidRPr="000A55D3">
        <w:t>%</w:t>
      </w:r>
      <w:r w:rsidR="00383BB1">
        <w:t xml:space="preserve"> in 20</w:t>
      </w:r>
      <w:r w:rsidR="0010320F">
        <w:t>20</w:t>
      </w:r>
      <w:r w:rsidR="001D0AC9">
        <w:t>.</w:t>
      </w:r>
    </w:p>
    <w:p w14:paraId="09449EF5" w14:textId="52AF5EE2" w:rsidR="00FE6227" w:rsidRPr="000A55D3" w:rsidRDefault="00383BB1" w:rsidP="00F06DE1">
      <w:pPr>
        <w:pStyle w:val="bullet1"/>
        <w:spacing w:after="0"/>
        <w:rPr>
          <w:bCs/>
        </w:rPr>
      </w:pPr>
      <w:r>
        <w:t>7</w:t>
      </w:r>
      <w:r w:rsidR="00F06DE1">
        <w:t>6</w:t>
      </w:r>
      <w:r>
        <w:t>.</w:t>
      </w:r>
      <w:r w:rsidR="00F06DE1">
        <w:t>7</w:t>
      </w:r>
      <w:r w:rsidR="00FE6227" w:rsidRPr="000A55D3">
        <w:t xml:space="preserve">% of the Christians in Israel are Arab Christians. They constitute </w:t>
      </w:r>
      <w:r>
        <w:t>7.</w:t>
      </w:r>
      <w:r w:rsidR="00F06DE1">
        <w:t>0</w:t>
      </w:r>
      <w:r w:rsidR="00FE6227" w:rsidRPr="000A55D3">
        <w:t>% of the total Arab population of Israel.</w:t>
      </w:r>
    </w:p>
    <w:p w14:paraId="2892DC2C" w14:textId="633DBC47" w:rsidR="00FE6227" w:rsidRPr="000A55D3" w:rsidRDefault="00FE6227" w:rsidP="00F06DE1">
      <w:pPr>
        <w:pStyle w:val="bullet1"/>
        <w:spacing w:after="0"/>
        <w:rPr>
          <w:bCs/>
        </w:rPr>
      </w:pPr>
      <w:r w:rsidRPr="00FC4158">
        <w:rPr>
          <w:b/>
          <w:bCs/>
        </w:rPr>
        <w:t xml:space="preserve">Most of the Arab Christians reside in the </w:t>
      </w:r>
      <w:r w:rsidR="00EA3F79" w:rsidRPr="00FC4158">
        <w:rPr>
          <w:b/>
          <w:bCs/>
        </w:rPr>
        <w:t>Northern District</w:t>
      </w:r>
      <w:r w:rsidR="00EA3F79">
        <w:t xml:space="preserve"> (70.</w:t>
      </w:r>
      <w:r w:rsidR="00F06DE1">
        <w:t>3</w:t>
      </w:r>
      <w:r w:rsidR="00EA3F79">
        <w:t xml:space="preserve">%) and </w:t>
      </w:r>
      <w:r w:rsidR="00FC4158">
        <w:t xml:space="preserve">in </w:t>
      </w:r>
      <w:r w:rsidR="00EA3F79" w:rsidRPr="00FC4158">
        <w:rPr>
          <w:b/>
          <w:bCs/>
        </w:rPr>
        <w:t>the Haifa District</w:t>
      </w:r>
      <w:r w:rsidR="00EA3F79">
        <w:t xml:space="preserve"> (13.</w:t>
      </w:r>
      <w:r w:rsidR="00F06DE1">
        <w:t>5</w:t>
      </w:r>
      <w:r w:rsidR="00EA3F79">
        <w:t>%).</w:t>
      </w:r>
    </w:p>
    <w:p w14:paraId="25153C2F" w14:textId="0F1C707D" w:rsidR="00FE6227" w:rsidRPr="000A55D3" w:rsidRDefault="00D039D0" w:rsidP="00F06DE1">
      <w:pPr>
        <w:pStyle w:val="bullet1"/>
        <w:spacing w:after="0"/>
        <w:rPr>
          <w:bCs/>
        </w:rPr>
      </w:pPr>
      <w:r>
        <w:t>41.</w:t>
      </w:r>
      <w:r w:rsidR="00F06DE1">
        <w:t>7</w:t>
      </w:r>
      <w:r w:rsidR="00FE6227" w:rsidRPr="000A55D3">
        <w:t xml:space="preserve">% of the non-Arab Christians reside in the Tel Aviv and Central Districts, as compared to </w:t>
      </w:r>
      <w:r w:rsidR="000219FF">
        <w:t>3</w:t>
      </w:r>
      <w:r w:rsidR="00F06DE1">
        <w:t>4</w:t>
      </w:r>
      <w:r w:rsidR="000219FF">
        <w:t>.</w:t>
      </w:r>
      <w:r w:rsidR="00F06DE1">
        <w:t>2</w:t>
      </w:r>
      <w:r w:rsidR="00FE6227" w:rsidRPr="000A55D3">
        <w:t>% in the Northern and Haifa Districts.</w:t>
      </w:r>
    </w:p>
    <w:p w14:paraId="3AB29364" w14:textId="5BA6D8AE" w:rsidR="00FE6227" w:rsidRPr="00B46E88" w:rsidRDefault="00FE6227" w:rsidP="00F06DE1">
      <w:pPr>
        <w:pStyle w:val="bullet1"/>
        <w:spacing w:after="0"/>
      </w:pPr>
      <w:r w:rsidRPr="00C8560E">
        <w:rPr>
          <w:b/>
          <w:bCs/>
        </w:rPr>
        <w:t>The localities with the largest Arab Christian populations</w:t>
      </w:r>
      <w:r w:rsidRPr="000A55D3">
        <w:t xml:space="preserve"> are Nazareth (</w:t>
      </w:r>
      <w:r w:rsidR="00C8560E">
        <w:t>21,</w:t>
      </w:r>
      <w:r w:rsidR="00F06DE1">
        <w:t>4</w:t>
      </w:r>
      <w:r w:rsidR="00C8560E">
        <w:t>00</w:t>
      </w:r>
      <w:r w:rsidRPr="000A55D3">
        <w:t>), Haifa (</w:t>
      </w:r>
      <w:r w:rsidR="00C8560E">
        <w:t>16,</w:t>
      </w:r>
      <w:r w:rsidR="00F06DE1">
        <w:t>5</w:t>
      </w:r>
      <w:r w:rsidR="00C8560E">
        <w:t>00</w:t>
      </w:r>
      <w:r w:rsidRPr="000A55D3">
        <w:t>), Jerusalem (</w:t>
      </w:r>
      <w:r w:rsidR="00C8560E">
        <w:t>12,900</w:t>
      </w:r>
      <w:r w:rsidRPr="000A55D3">
        <w:t>), and Shefar'am (</w:t>
      </w:r>
      <w:r w:rsidR="00C8560E">
        <w:t>10,400</w:t>
      </w:r>
      <w:r w:rsidRPr="000A55D3">
        <w:t>), as of the end of 20</w:t>
      </w:r>
      <w:r w:rsidR="00F06DE1">
        <w:t>20</w:t>
      </w:r>
      <w:r w:rsidRPr="000A55D3">
        <w:t>.</w:t>
      </w:r>
    </w:p>
    <w:p w14:paraId="6FCD45A2" w14:textId="1AF9DD0E" w:rsidR="00FE6227" w:rsidRPr="00B46E88" w:rsidRDefault="00F06DE1" w:rsidP="00F06DE1">
      <w:pPr>
        <w:pStyle w:val="bullet1"/>
        <w:spacing w:after="0"/>
      </w:pPr>
      <w:r>
        <w:t>803</w:t>
      </w:r>
      <w:r w:rsidR="00FE6227" w:rsidRPr="000A55D3">
        <w:t xml:space="preserve"> Christian couples </w:t>
      </w:r>
      <w:r w:rsidR="00FE6227" w:rsidRPr="004D7A56">
        <w:rPr>
          <w:b/>
          <w:bCs/>
        </w:rPr>
        <w:t>married</w:t>
      </w:r>
      <w:r w:rsidR="00FE6227" w:rsidRPr="000A55D3">
        <w:t xml:space="preserve"> in Israel in 201</w:t>
      </w:r>
      <w:r>
        <w:t>9</w:t>
      </w:r>
      <w:r w:rsidR="00FE6227" w:rsidRPr="000A55D3">
        <w:t xml:space="preserve">. The average age at the first marriage of Christian grooms was </w:t>
      </w:r>
      <w:r>
        <w:t>30</w:t>
      </w:r>
      <w:r w:rsidR="00F5463D">
        <w:t>.</w:t>
      </w:r>
      <w:r>
        <w:t>3</w:t>
      </w:r>
      <w:r w:rsidR="00FE6227" w:rsidRPr="000A55D3">
        <w:t xml:space="preserve">, and that of Christian brides was </w:t>
      </w:r>
      <w:r w:rsidR="00F5463D">
        <w:t>26.</w:t>
      </w:r>
      <w:r>
        <w:t>7</w:t>
      </w:r>
      <w:r w:rsidR="00FE6227" w:rsidRPr="000A55D3">
        <w:t>.</w:t>
      </w:r>
    </w:p>
    <w:p w14:paraId="30F53DAE" w14:textId="697AEF1C" w:rsidR="00FE6227" w:rsidRPr="00B46E88" w:rsidRDefault="00FE6227" w:rsidP="00F06DE1">
      <w:pPr>
        <w:pStyle w:val="bullet1"/>
        <w:spacing w:after="0"/>
      </w:pPr>
      <w:r w:rsidRPr="000A55D3">
        <w:t>In 20</w:t>
      </w:r>
      <w:r w:rsidR="00F06DE1">
        <w:t>20</w:t>
      </w:r>
      <w:r w:rsidRPr="000A55D3">
        <w:t xml:space="preserve">, </w:t>
      </w:r>
      <w:r w:rsidR="0048439C">
        <w:t>2,4</w:t>
      </w:r>
      <w:r w:rsidR="00F06DE1">
        <w:t>97</w:t>
      </w:r>
      <w:r w:rsidRPr="000A55D3">
        <w:t xml:space="preserve"> </w:t>
      </w:r>
      <w:r w:rsidRPr="0048439C">
        <w:rPr>
          <w:b/>
          <w:bCs/>
        </w:rPr>
        <w:t>infants were born to Christian women,</w:t>
      </w:r>
      <w:r w:rsidRPr="000A55D3">
        <w:t xml:space="preserve"> about </w:t>
      </w:r>
      <w:r w:rsidR="0048439C">
        <w:t>7</w:t>
      </w:r>
      <w:r w:rsidR="00F06DE1">
        <w:t>2</w:t>
      </w:r>
      <w:r w:rsidR="0048439C">
        <w:t>%</w:t>
      </w:r>
      <w:r w:rsidRPr="000A55D3">
        <w:t xml:space="preserve"> of whom </w:t>
      </w:r>
      <w:r w:rsidR="0048439C">
        <w:t>(1,7</w:t>
      </w:r>
      <w:r w:rsidR="00F06DE1">
        <w:t>97</w:t>
      </w:r>
      <w:r w:rsidR="0048439C">
        <w:t xml:space="preserve"> infants) </w:t>
      </w:r>
      <w:r w:rsidRPr="000A55D3">
        <w:t>were born to Arab Christian women.</w:t>
      </w:r>
    </w:p>
    <w:p w14:paraId="4B4C105B" w14:textId="48F2686D" w:rsidR="00FE6227" w:rsidRDefault="00FE6227" w:rsidP="00F06DE1">
      <w:pPr>
        <w:pStyle w:val="bullet1"/>
        <w:spacing w:after="0"/>
      </w:pPr>
      <w:r w:rsidRPr="00A857AA">
        <w:rPr>
          <w:b/>
          <w:bCs/>
        </w:rPr>
        <w:t>The average number of children up to age 17</w:t>
      </w:r>
      <w:r w:rsidRPr="000A55D3">
        <w:t xml:space="preserve"> in Christian families with children up to this age is 1.</w:t>
      </w:r>
      <w:r w:rsidR="00F06DE1">
        <w:t>93</w:t>
      </w:r>
      <w:r w:rsidRPr="000A55D3">
        <w:t xml:space="preserve">. Of </w:t>
      </w:r>
      <w:r w:rsidR="002F5DBC">
        <w:t>th</w:t>
      </w:r>
      <w:r w:rsidR="003C7AB7">
        <w:t>ese Christian families</w:t>
      </w:r>
      <w:r w:rsidRPr="000A55D3">
        <w:t xml:space="preserve">, the average number of children up to age 17 in Arab Christian families is </w:t>
      </w:r>
      <w:r w:rsidR="00F06DE1">
        <w:t>2</w:t>
      </w:r>
      <w:r w:rsidR="00047B9B">
        <w:t>.</w:t>
      </w:r>
      <w:r w:rsidR="00F06DE1">
        <w:t>04</w:t>
      </w:r>
      <w:r w:rsidR="00047B9B">
        <w:t xml:space="preserve"> –</w:t>
      </w:r>
      <w:r w:rsidRPr="000A55D3">
        <w:t xml:space="preserve"> smaller than the numbers in Jewish families (</w:t>
      </w:r>
      <w:r w:rsidR="00EC2556">
        <w:t>2.4</w:t>
      </w:r>
      <w:r w:rsidR="00F06DE1">
        <w:t>3</w:t>
      </w:r>
      <w:r w:rsidRPr="000A55D3">
        <w:t xml:space="preserve">) and </w:t>
      </w:r>
      <w:r w:rsidR="00EC2556">
        <w:t xml:space="preserve">in </w:t>
      </w:r>
      <w:r w:rsidRPr="000A55D3">
        <w:t>Moslem families (</w:t>
      </w:r>
      <w:r w:rsidR="00EC2556">
        <w:t>2.6</w:t>
      </w:r>
      <w:r w:rsidR="00F06DE1">
        <w:t>0</w:t>
      </w:r>
      <w:r w:rsidRPr="000A55D3">
        <w:t>).</w:t>
      </w:r>
    </w:p>
    <w:p w14:paraId="401C4C39" w14:textId="2406263C" w:rsidR="00CE2A64" w:rsidRDefault="00CE2A64" w:rsidP="00F06DE1">
      <w:pPr>
        <w:pStyle w:val="bullet1"/>
        <w:spacing w:after="0"/>
      </w:pPr>
      <w:r w:rsidRPr="00CE2A64">
        <w:lastRenderedPageBreak/>
        <w:t xml:space="preserve">In the </w:t>
      </w:r>
      <w:r w:rsidR="00A75FBB">
        <w:t>20</w:t>
      </w:r>
      <w:r w:rsidR="00F06DE1">
        <w:t>20</w:t>
      </w:r>
      <w:r w:rsidR="00A75FBB">
        <w:t>/2</w:t>
      </w:r>
      <w:r w:rsidR="00F06DE1">
        <w:t>1</w:t>
      </w:r>
      <w:r w:rsidR="00A75FBB">
        <w:t xml:space="preserve"> school year, 2</w:t>
      </w:r>
      <w:r w:rsidR="00F06DE1">
        <w:t>7</w:t>
      </w:r>
      <w:r w:rsidR="00A75FBB">
        <w:t>,</w:t>
      </w:r>
      <w:r w:rsidR="00F06DE1">
        <w:t>044</w:t>
      </w:r>
      <w:r w:rsidR="00A75FBB">
        <w:t xml:space="preserve"> Christian </w:t>
      </w:r>
      <w:r w:rsidR="00A75FBB" w:rsidRPr="00A75FBB">
        <w:rPr>
          <w:b/>
          <w:bCs/>
        </w:rPr>
        <w:t>students</w:t>
      </w:r>
      <w:r w:rsidR="001A0F5B">
        <w:rPr>
          <w:b/>
          <w:bCs/>
        </w:rPr>
        <w:t xml:space="preserve"> </w:t>
      </w:r>
      <w:r w:rsidR="001A0F5B" w:rsidRPr="001A0F5B">
        <w:t>– 1.</w:t>
      </w:r>
      <w:r w:rsidR="00F06DE1">
        <w:t>4</w:t>
      </w:r>
      <w:r w:rsidR="001A0F5B" w:rsidRPr="001A0F5B">
        <w:t>% of the total number of students –</w:t>
      </w:r>
      <w:r w:rsidR="00A75FBB">
        <w:t xml:space="preserve"> attended </w:t>
      </w:r>
      <w:r w:rsidR="001A0F5B">
        <w:t xml:space="preserve">primary and </w:t>
      </w:r>
      <w:r w:rsidR="003C7AB7">
        <w:t>second</w:t>
      </w:r>
      <w:r w:rsidR="001A0F5B">
        <w:t>ary schools.</w:t>
      </w:r>
    </w:p>
    <w:p w14:paraId="18A50665" w14:textId="53C148B9" w:rsidR="00F507DB" w:rsidRDefault="00F06DE1" w:rsidP="00F06DE1">
      <w:pPr>
        <w:pStyle w:val="bullet1"/>
        <w:spacing w:after="0"/>
      </w:pPr>
      <w:r>
        <w:rPr>
          <w:rFonts w:ascii="Arial" w:hAnsi="Arial" w:cs="Arial"/>
        </w:rPr>
        <w:t>81.6</w:t>
      </w:r>
      <w:r w:rsidRPr="000A55D3">
        <w:rPr>
          <w:rFonts w:ascii="Arial" w:hAnsi="Arial" w:cs="Arial"/>
        </w:rPr>
        <w:t xml:space="preserve">% of Christian </w:t>
      </w:r>
      <w:r>
        <w:rPr>
          <w:rFonts w:ascii="Arial" w:hAnsi="Arial" w:cs="Arial"/>
        </w:rPr>
        <w:t>12th-</w:t>
      </w:r>
      <w:r w:rsidRPr="000A55D3">
        <w:rPr>
          <w:rFonts w:ascii="Arial" w:hAnsi="Arial" w:cs="Arial"/>
        </w:rPr>
        <w:t xml:space="preserve">grade </w:t>
      </w:r>
      <w:r>
        <w:rPr>
          <w:rFonts w:ascii="Arial" w:hAnsi="Arial" w:cs="Arial"/>
        </w:rPr>
        <w:t>student</w:t>
      </w:r>
      <w:r w:rsidRPr="000A55D3">
        <w:rPr>
          <w:rFonts w:ascii="Arial" w:hAnsi="Arial" w:cs="Arial"/>
        </w:rPr>
        <w:t xml:space="preserve">s were </w:t>
      </w:r>
      <w:r>
        <w:rPr>
          <w:rFonts w:ascii="Arial" w:hAnsi="Arial" w:cs="Arial"/>
        </w:rPr>
        <w:t>eligible for</w:t>
      </w:r>
      <w:r w:rsidRPr="000A55D3">
        <w:rPr>
          <w:rFonts w:ascii="Arial" w:hAnsi="Arial" w:cs="Arial"/>
        </w:rPr>
        <w:t xml:space="preserve"> a </w:t>
      </w:r>
      <w:r w:rsidRPr="00F06DE1">
        <w:rPr>
          <w:rFonts w:ascii="Arial" w:hAnsi="Arial" w:cs="Arial"/>
          <w:b/>
          <w:bCs/>
        </w:rPr>
        <w:t>matriculation certificate</w:t>
      </w:r>
      <w:r>
        <w:t>.</w:t>
      </w:r>
    </w:p>
    <w:p w14:paraId="3EB19A45" w14:textId="03C35D0A" w:rsidR="00AE4A84" w:rsidRPr="00A428E9" w:rsidRDefault="00AE4A84" w:rsidP="00F06DE1">
      <w:pPr>
        <w:pStyle w:val="bullet1"/>
        <w:spacing w:after="0"/>
      </w:pPr>
      <w:r>
        <w:t>5</w:t>
      </w:r>
      <w:r w:rsidR="00F06DE1">
        <w:t>3</w:t>
      </w:r>
      <w:r>
        <w:t>.</w:t>
      </w:r>
      <w:r w:rsidR="00F06DE1">
        <w:t>1</w:t>
      </w:r>
      <w:r>
        <w:t xml:space="preserve">% of the Arab Christians </w:t>
      </w:r>
      <w:r w:rsidRPr="00F06DE1">
        <w:rPr>
          <w:b/>
          <w:bCs/>
        </w:rPr>
        <w:t>continued their studies toward a first degree within eight years of graduating high school</w:t>
      </w:r>
      <w:r>
        <w:t>, compared to only 3</w:t>
      </w:r>
      <w:r w:rsidR="00F06DE1">
        <w:t>5</w:t>
      </w:r>
      <w:r>
        <w:t>.</w:t>
      </w:r>
      <w:r w:rsidR="00F06DE1">
        <w:t>4</w:t>
      </w:r>
      <w:r>
        <w:t xml:space="preserve">% </w:t>
      </w:r>
      <w:r w:rsidRPr="00A428E9">
        <w:t xml:space="preserve">of the total number of </w:t>
      </w:r>
      <w:r w:rsidR="00AB4856" w:rsidRPr="00A428E9">
        <w:t>high-school graduates in the Arab school system</w:t>
      </w:r>
      <w:r w:rsidR="00F06DE1" w:rsidRPr="00A428E9">
        <w:t xml:space="preserve"> and 47.2% in the Hebrew education</w:t>
      </w:r>
      <w:r w:rsidR="00AB4856" w:rsidRPr="00A428E9">
        <w:t>.</w:t>
      </w:r>
    </w:p>
    <w:p w14:paraId="3E780E27" w14:textId="77C81940" w:rsidR="00FE6227" w:rsidRPr="00B46E88" w:rsidRDefault="004024E5" w:rsidP="00F06DE1">
      <w:pPr>
        <w:pStyle w:val="bullet1"/>
        <w:spacing w:after="0"/>
      </w:pPr>
      <w:r>
        <w:t xml:space="preserve">The </w:t>
      </w:r>
      <w:r w:rsidRPr="008027F8">
        <w:rPr>
          <w:b/>
          <w:bCs/>
        </w:rPr>
        <w:t>proportion of women among the Christian students</w:t>
      </w:r>
      <w:r>
        <w:t xml:space="preserve"> was higher </w:t>
      </w:r>
      <w:r w:rsidR="003C7AB7">
        <w:t>than women’s</w:t>
      </w:r>
      <w:r>
        <w:t xml:space="preserve"> proportion among the total number of students in all degrees and particularly in the advanced degrees:</w:t>
      </w:r>
      <w:r w:rsidR="00FE6227" w:rsidRPr="000A55D3">
        <w:t xml:space="preserve"> </w:t>
      </w:r>
      <w:r>
        <w:t>64.</w:t>
      </w:r>
      <w:r w:rsidR="00F06DE1">
        <w:t>1</w:t>
      </w:r>
      <w:r>
        <w:t>% and 53.</w:t>
      </w:r>
      <w:r w:rsidR="00F06DE1">
        <w:t>2</w:t>
      </w:r>
      <w:r>
        <w:t>%, respectively, of those studying for a third degree, and 7</w:t>
      </w:r>
      <w:r w:rsidR="00F06DE1">
        <w:t>2</w:t>
      </w:r>
      <w:r>
        <w:t>.</w:t>
      </w:r>
      <w:r w:rsidR="00F06DE1">
        <w:t>9</w:t>
      </w:r>
      <w:r>
        <w:t>% and 6</w:t>
      </w:r>
      <w:r w:rsidR="00F06DE1">
        <w:t>3</w:t>
      </w:r>
      <w:r>
        <w:t>.</w:t>
      </w:r>
      <w:r w:rsidR="00F06DE1">
        <w:t>8</w:t>
      </w:r>
      <w:r>
        <w:t xml:space="preserve">%, respectively, </w:t>
      </w:r>
      <w:r w:rsidR="003C7AB7">
        <w:t xml:space="preserve">of </w:t>
      </w:r>
      <w:r>
        <w:t>those studying for a second degree.</w:t>
      </w:r>
    </w:p>
    <w:p w14:paraId="3A0E666B" w14:textId="557BDD74" w:rsidR="0010320F" w:rsidRPr="0010320F" w:rsidRDefault="0010320F" w:rsidP="008027F8">
      <w:pPr>
        <w:pStyle w:val="bullet1"/>
        <w:spacing w:after="0"/>
      </w:pPr>
      <w:r w:rsidRPr="0010320F">
        <w:t>Compared with Arab-Moslem students, the percentage of Christian-Arab students studying for a first degree (bachelor's degree) was lower in the following fields of study:</w:t>
      </w:r>
      <w:r w:rsidRPr="0010320F">
        <w:rPr>
          <w:rStyle w:val="FootnoteReference"/>
        </w:rPr>
        <w:footnoteReference w:id="2"/>
      </w:r>
      <w:r w:rsidRPr="0010320F">
        <w:t xml:space="preserve"> Business and management sciences, Languages, literature and regional studies, as well as Paramedical studies. In contrast, the percentage of those who studied Engineering and architecture, Art, crafts and applied arts, as well as Medicine was higher.</w:t>
      </w:r>
    </w:p>
    <w:p w14:paraId="54D4A951" w14:textId="296E9301" w:rsidR="00FE6227" w:rsidRPr="00A428E9" w:rsidRDefault="00A428E9" w:rsidP="00A428E9">
      <w:pPr>
        <w:pStyle w:val="bullet1"/>
        <w:spacing w:after="0"/>
      </w:pPr>
      <w:r w:rsidRPr="00A428E9">
        <w:rPr>
          <w:b/>
          <w:bCs/>
        </w:rPr>
        <w:t>Of all students who were studying for a first degree,</w:t>
      </w:r>
      <w:r w:rsidRPr="00A428E9">
        <w:t xml:space="preserve"> representation among the Christian students was highest in the following subjects of study:</w:t>
      </w:r>
      <w:r w:rsidRPr="00A428E9">
        <w:rPr>
          <w:rStyle w:val="FootnoteReference"/>
        </w:rPr>
        <w:footnoteReference w:id="3"/>
      </w:r>
      <w:r w:rsidRPr="00A428E9">
        <w:t xml:space="preserve"> musicology (15.1%), management information systems (12.4%), and transportation engineering (11.2%).</w:t>
      </w:r>
    </w:p>
    <w:p w14:paraId="7D7061F6" w14:textId="5618B1C1" w:rsidR="00E52B6A" w:rsidRDefault="00E52B6A" w:rsidP="00205919">
      <w:pPr>
        <w:pStyle w:val="bullet1"/>
        <w:spacing w:after="0"/>
      </w:pPr>
      <w:r w:rsidRPr="007637E2">
        <w:rPr>
          <w:b/>
          <w:bCs/>
        </w:rPr>
        <w:t xml:space="preserve">The </w:t>
      </w:r>
      <w:r w:rsidR="00E87ADC" w:rsidRPr="007637E2">
        <w:rPr>
          <w:b/>
          <w:bCs/>
        </w:rPr>
        <w:t>percentage of participation in the labour force</w:t>
      </w:r>
      <w:r w:rsidR="00E87ADC">
        <w:t xml:space="preserve"> </w:t>
      </w:r>
      <w:r w:rsidR="00F51BCF">
        <w:t>in 20</w:t>
      </w:r>
      <w:r w:rsidR="00205919">
        <w:t>20</w:t>
      </w:r>
      <w:r w:rsidR="00F51BCF">
        <w:t xml:space="preserve"> among Christians aged 15 and over was 6</w:t>
      </w:r>
      <w:r w:rsidR="00205919">
        <w:t>4</w:t>
      </w:r>
      <w:r w:rsidR="00F51BCF">
        <w:t>.</w:t>
      </w:r>
      <w:r w:rsidR="00205919">
        <w:t>6</w:t>
      </w:r>
      <w:r w:rsidR="00F51BCF">
        <w:t>% (</w:t>
      </w:r>
      <w:r w:rsidR="00205919">
        <w:t>68</w:t>
      </w:r>
      <w:r w:rsidR="00F51BCF">
        <w:t>.</w:t>
      </w:r>
      <w:r w:rsidR="00205919">
        <w:t>2</w:t>
      </w:r>
      <w:r w:rsidR="00F51BCF">
        <w:t>% of men and 6</w:t>
      </w:r>
      <w:r w:rsidR="00205919">
        <w:t>1</w:t>
      </w:r>
      <w:r w:rsidR="00F51BCF">
        <w:t>.</w:t>
      </w:r>
      <w:r w:rsidR="00205919">
        <w:t>9</w:t>
      </w:r>
      <w:r w:rsidR="00F51BCF">
        <w:t xml:space="preserve">% of women). </w:t>
      </w:r>
      <w:r w:rsidR="00F3792F">
        <w:t>This figure was 5</w:t>
      </w:r>
      <w:r w:rsidR="00205919">
        <w:t>3</w:t>
      </w:r>
      <w:r w:rsidR="00F3792F">
        <w:t>.</w:t>
      </w:r>
      <w:r w:rsidR="00205919">
        <w:t>7</w:t>
      </w:r>
      <w:r w:rsidR="00F3792F">
        <w:t>% among Christian Arabs (6</w:t>
      </w:r>
      <w:r w:rsidR="00205919">
        <w:t>2</w:t>
      </w:r>
      <w:r w:rsidR="00F3792F">
        <w:t>.</w:t>
      </w:r>
      <w:r w:rsidR="00205919">
        <w:t>3</w:t>
      </w:r>
      <w:r w:rsidR="00F3792F">
        <w:t>% of men and 4</w:t>
      </w:r>
      <w:r w:rsidR="00205919">
        <w:t>5</w:t>
      </w:r>
      <w:r w:rsidR="00F3792F">
        <w:t>.</w:t>
      </w:r>
      <w:r w:rsidR="00205919">
        <w:t>2</w:t>
      </w:r>
      <w:r w:rsidR="00F3792F">
        <w:t>% of women).</w:t>
      </w:r>
    </w:p>
    <w:p w14:paraId="5B6B1CE4" w14:textId="17393267" w:rsidR="00F3792F" w:rsidRDefault="008D5A09" w:rsidP="00205919">
      <w:pPr>
        <w:pStyle w:val="bullet1"/>
        <w:spacing w:after="0"/>
      </w:pPr>
      <w:r>
        <w:t>Approximately 1</w:t>
      </w:r>
      <w:r w:rsidR="00205919">
        <w:t>7</w:t>
      </w:r>
      <w:r>
        <w:t>,</w:t>
      </w:r>
      <w:r w:rsidR="00205919">
        <w:t>5</w:t>
      </w:r>
      <w:r>
        <w:t xml:space="preserve">00 Christians – </w:t>
      </w:r>
      <w:r w:rsidR="00EE7FB5">
        <w:t xml:space="preserve">a rate of </w:t>
      </w:r>
      <w:r w:rsidR="00205919">
        <w:t>98</w:t>
      </w:r>
      <w:r w:rsidR="00EE7FB5">
        <w:t xml:space="preserve"> per 1,000 persons – were </w:t>
      </w:r>
      <w:r w:rsidR="00EE7FB5" w:rsidRPr="00844426">
        <w:rPr>
          <w:b/>
          <w:bCs/>
        </w:rPr>
        <w:t xml:space="preserve">registered </w:t>
      </w:r>
      <w:r w:rsidR="0069497A">
        <w:rPr>
          <w:b/>
          <w:bCs/>
        </w:rPr>
        <w:t>at the Ministry of Labo</w:t>
      </w:r>
      <w:r w:rsidR="00844426" w:rsidRPr="00844426">
        <w:rPr>
          <w:b/>
          <w:bCs/>
        </w:rPr>
        <w:t>r, Welfare, and Social Services</w:t>
      </w:r>
      <w:r w:rsidR="00205919">
        <w:t xml:space="preserve"> in 2020</w:t>
      </w:r>
      <w:r w:rsidR="00377C67">
        <w:t>.</w:t>
      </w:r>
      <w:r w:rsidR="00844426" w:rsidRPr="00C92977">
        <w:t xml:space="preserve"> </w:t>
      </w:r>
      <w:r w:rsidR="0040338B">
        <w:t>This percentage was lower than that of Moslems who were registered (approximately 18</w:t>
      </w:r>
      <w:r w:rsidR="00205919">
        <w:t>3</w:t>
      </w:r>
      <w:r w:rsidR="0040338B">
        <w:t xml:space="preserve"> per 1,000 persons) and Jews who were registered (10</w:t>
      </w:r>
      <w:r w:rsidR="00205919">
        <w:t>7</w:t>
      </w:r>
      <w:r w:rsidR="0040338B">
        <w:t xml:space="preserve"> per 1,000 persons).</w:t>
      </w:r>
    </w:p>
    <w:p w14:paraId="084F6733" w14:textId="2B676835" w:rsidR="00205919" w:rsidRDefault="00205919" w:rsidP="00CB50DF">
      <w:pPr>
        <w:pStyle w:val="bullet1"/>
        <w:spacing w:after="0"/>
      </w:pPr>
      <w:r>
        <w:t xml:space="preserve">In 2020, about 3,500 Christians – a rate of about 20 per 1,000 persons – were </w:t>
      </w:r>
      <w:r w:rsidRPr="00EE0462">
        <w:rPr>
          <w:b/>
          <w:bCs/>
        </w:rPr>
        <w:t>placed in social service frameworks</w:t>
      </w:r>
      <w:r>
        <w:t>. This rate is lower than the rate among Moslems (about 3</w:t>
      </w:r>
      <w:r w:rsidR="00CB50DF">
        <w:t>2</w:t>
      </w:r>
      <w:r>
        <w:t xml:space="preserve"> per 1,000 persons) and Jews (about 2</w:t>
      </w:r>
      <w:r w:rsidR="00CB50DF">
        <w:t>8</w:t>
      </w:r>
      <w:r>
        <w:t xml:space="preserve"> per 1,000 persons).</w:t>
      </w:r>
    </w:p>
    <w:p w14:paraId="20472512" w14:textId="0E162BE8" w:rsidR="00DC74C4" w:rsidRDefault="00DC74C4" w:rsidP="00CB50DF">
      <w:pPr>
        <w:pStyle w:val="bullet1"/>
        <w:spacing w:after="0"/>
      </w:pPr>
      <w:r w:rsidRPr="00DC74C4">
        <w:rPr>
          <w:rFonts w:ascii="Arial" w:hAnsi="Arial" w:cs="Arial"/>
        </w:rPr>
        <w:lastRenderedPageBreak/>
        <w:t xml:space="preserve">In the year of court judgement 2019, the rate of persons </w:t>
      </w:r>
      <w:r w:rsidRPr="00BC5FD1">
        <w:rPr>
          <w:rFonts w:ascii="Arial" w:hAnsi="Arial" w:cs="Arial"/>
          <w:b/>
          <w:bCs/>
        </w:rPr>
        <w:t>judged in criminal trials</w:t>
      </w:r>
      <w:r w:rsidRPr="00DC74C4">
        <w:rPr>
          <w:rFonts w:ascii="Arial" w:hAnsi="Arial" w:cs="Arial"/>
        </w:rPr>
        <w:t xml:space="preserve"> among the Christian population in Israel was about 211 per 100,000 persons, out of those judged, the rate among </w:t>
      </w:r>
      <w:r w:rsidRPr="00BC5FD1">
        <w:rPr>
          <w:rFonts w:ascii="Arial" w:hAnsi="Arial" w:cs="Arial"/>
          <w:b/>
          <w:bCs/>
        </w:rPr>
        <w:t>non-Arab Christians</w:t>
      </w:r>
      <w:r w:rsidRPr="00DC74C4">
        <w:rPr>
          <w:rFonts w:ascii="Arial" w:hAnsi="Arial" w:cs="Arial"/>
        </w:rPr>
        <w:t xml:space="preserve"> was substantially </w:t>
      </w:r>
      <w:r w:rsidRPr="00BC5FD1">
        <w:rPr>
          <w:rFonts w:ascii="Arial" w:hAnsi="Arial" w:cs="Arial"/>
          <w:b/>
          <w:bCs/>
        </w:rPr>
        <w:t>higher</w:t>
      </w:r>
      <w:r w:rsidRPr="00DC74C4">
        <w:rPr>
          <w:rFonts w:ascii="Arial" w:hAnsi="Arial" w:cs="Arial"/>
        </w:rPr>
        <w:t xml:space="preserve"> than the rate among </w:t>
      </w:r>
      <w:r w:rsidRPr="00BC5FD1">
        <w:rPr>
          <w:rFonts w:ascii="Arial" w:hAnsi="Arial" w:cs="Arial"/>
          <w:b/>
          <w:bCs/>
        </w:rPr>
        <w:t>Arab Christians</w:t>
      </w:r>
      <w:r w:rsidRPr="00DC74C4">
        <w:rPr>
          <w:rFonts w:ascii="Arial" w:hAnsi="Arial" w:cs="Arial"/>
        </w:rPr>
        <w:t xml:space="preserve"> (about 293 and 187 per 100,000 persons, respectively).</w:t>
      </w:r>
    </w:p>
    <w:p w14:paraId="766FB74F" w14:textId="69A44E1D" w:rsidR="00DC74C4" w:rsidRDefault="00DC74C4" w:rsidP="00DC74C4">
      <w:pPr>
        <w:pStyle w:val="bullet1"/>
        <w:spacing w:after="0"/>
      </w:pPr>
      <w:r w:rsidRPr="00DC74C4">
        <w:rPr>
          <w:rFonts w:ascii="Arial" w:hAnsi="Arial" w:cs="Arial"/>
        </w:rPr>
        <w:t xml:space="preserve">The rate of </w:t>
      </w:r>
      <w:r w:rsidRPr="00BC5FD1">
        <w:rPr>
          <w:rFonts w:ascii="Arial" w:hAnsi="Arial" w:cs="Arial"/>
          <w:b/>
          <w:bCs/>
        </w:rPr>
        <w:t>convicted</w:t>
      </w:r>
      <w:r w:rsidRPr="00DC74C4">
        <w:rPr>
          <w:rFonts w:ascii="Arial" w:hAnsi="Arial" w:cs="Arial"/>
        </w:rPr>
        <w:t xml:space="preserve"> Christians was about 187 per 100,000 persons. The rate of </w:t>
      </w:r>
      <w:r w:rsidRPr="00BC5FD1">
        <w:rPr>
          <w:rFonts w:ascii="Arial" w:hAnsi="Arial" w:cs="Arial"/>
          <w:b/>
          <w:bCs/>
        </w:rPr>
        <w:t>non-Arab Christian</w:t>
      </w:r>
      <w:r w:rsidRPr="00DC74C4">
        <w:rPr>
          <w:rFonts w:ascii="Arial" w:hAnsi="Arial" w:cs="Arial"/>
        </w:rPr>
        <w:t xml:space="preserve"> persons convicted was substantially higher than the rate of </w:t>
      </w:r>
      <w:r w:rsidRPr="00BC5FD1">
        <w:rPr>
          <w:rFonts w:ascii="Arial" w:hAnsi="Arial" w:cs="Arial"/>
          <w:b/>
          <w:bCs/>
        </w:rPr>
        <w:t>Arab Christians</w:t>
      </w:r>
      <w:r w:rsidRPr="00DC74C4">
        <w:rPr>
          <w:rFonts w:ascii="Arial" w:hAnsi="Arial" w:cs="Arial"/>
        </w:rPr>
        <w:t xml:space="preserve"> (about 259 and about 166 per 100,000 persons, respectively).</w:t>
      </w:r>
    </w:p>
    <w:p w14:paraId="6D337B90" w14:textId="4BBE3355" w:rsidR="005470AA" w:rsidRPr="001256F0" w:rsidRDefault="005470AA" w:rsidP="001256F0">
      <w:pPr>
        <w:pStyle w:val="bullet1"/>
        <w:spacing w:after="0"/>
      </w:pPr>
      <w:r w:rsidRPr="001256F0">
        <w:rPr>
          <w:rFonts w:ascii="Arial" w:hAnsi="Arial" w:cs="Arial"/>
        </w:rPr>
        <w:t xml:space="preserve">The </w:t>
      </w:r>
      <w:r w:rsidRPr="00BC5FD1">
        <w:rPr>
          <w:rFonts w:ascii="Arial" w:hAnsi="Arial" w:cs="Arial"/>
          <w:b/>
          <w:bCs/>
        </w:rPr>
        <w:t>most common offences among persons convicted</w:t>
      </w:r>
      <w:r w:rsidRPr="001256F0">
        <w:rPr>
          <w:rFonts w:ascii="Arial" w:hAnsi="Arial" w:cs="Arial"/>
        </w:rPr>
        <w:t xml:space="preserve"> from the Christian population in Israel are as follows: offences against public order (27.4%)</w:t>
      </w:r>
      <w:r w:rsidR="00BC5FD1">
        <w:rPr>
          <w:rFonts w:ascii="Arial" w:hAnsi="Arial" w:cs="Arial"/>
        </w:rPr>
        <w:t>, morality offences (19.7%),</w:t>
      </w:r>
      <w:r w:rsidR="001256F0" w:rsidRPr="001256F0">
        <w:rPr>
          <w:rFonts w:ascii="Arial" w:hAnsi="Arial" w:cs="Arial"/>
        </w:rPr>
        <w:t xml:space="preserve"> and</w:t>
      </w:r>
      <w:r w:rsidRPr="001256F0">
        <w:rPr>
          <w:rFonts w:ascii="Arial" w:hAnsi="Arial" w:cs="Arial"/>
        </w:rPr>
        <w:t xml:space="preserve"> bodily harm (1</w:t>
      </w:r>
      <w:r w:rsidR="001256F0" w:rsidRPr="001256F0">
        <w:rPr>
          <w:rFonts w:ascii="Arial" w:hAnsi="Arial" w:cs="Arial"/>
        </w:rPr>
        <w:t>6</w:t>
      </w:r>
      <w:r w:rsidRPr="001256F0">
        <w:rPr>
          <w:rFonts w:ascii="Arial" w:hAnsi="Arial" w:cs="Arial"/>
        </w:rPr>
        <w:t>.</w:t>
      </w:r>
      <w:r w:rsidR="001256F0" w:rsidRPr="001256F0">
        <w:rPr>
          <w:rFonts w:ascii="Arial" w:hAnsi="Arial" w:cs="Arial"/>
        </w:rPr>
        <w:t>4</w:t>
      </w:r>
      <w:r w:rsidRPr="001256F0">
        <w:rPr>
          <w:rFonts w:ascii="Arial" w:hAnsi="Arial" w:cs="Arial"/>
        </w:rPr>
        <w:t>%).</w:t>
      </w:r>
    </w:p>
    <w:p w14:paraId="50668B54" w14:textId="77777777" w:rsidR="003C512D" w:rsidRDefault="003C512D" w:rsidP="003C512D">
      <w:pPr>
        <w:pStyle w:val="bullet1"/>
        <w:rPr>
          <w:b/>
          <w:bCs/>
        </w:rPr>
      </w:pPr>
      <w:r>
        <w:t xml:space="preserve">84% </w:t>
      </w:r>
      <w:r w:rsidRPr="004D2C4A">
        <w:t xml:space="preserve">were </w:t>
      </w:r>
      <w:r w:rsidRPr="00BC5FD1">
        <w:rPr>
          <w:b/>
          <w:bCs/>
        </w:rPr>
        <w:t>satisfied with their lives</w:t>
      </w:r>
      <w:r>
        <w:t>: 24% were very satisfied and 60% were satisfied.</w:t>
      </w:r>
    </w:p>
    <w:p w14:paraId="561D2932" w14:textId="77777777" w:rsidR="00205919" w:rsidRDefault="00205919">
      <w:pPr>
        <w:bidi w:val="0"/>
        <w:rPr>
          <w:rFonts w:ascii="Arial" w:hAnsi="Arial" w:cs="Arial"/>
          <w:color w:val="4F81BD"/>
          <w:szCs w:val="24"/>
        </w:rPr>
      </w:pPr>
      <w:r>
        <w:br w:type="page"/>
      </w:r>
    </w:p>
    <w:p w14:paraId="374040DA" w14:textId="1A6197D8" w:rsidR="007B734B" w:rsidRPr="000A55D3" w:rsidRDefault="007B734B" w:rsidP="00DD5BAC">
      <w:pPr>
        <w:pStyle w:val="Heading2"/>
      </w:pPr>
      <w:r w:rsidRPr="000A55D3">
        <w:t xml:space="preserve">Selected Data on the </w:t>
      </w:r>
      <w:r w:rsidRPr="00636749">
        <w:t>Christian</w:t>
      </w:r>
      <w:r w:rsidRPr="000A55D3">
        <w:t xml:space="preserve"> Population (end of 20</w:t>
      </w:r>
      <w:r w:rsidR="00DD5BAC">
        <w:t>20</w:t>
      </w:r>
      <w:r w:rsidRPr="000A55D3">
        <w:t>)</w:t>
      </w:r>
    </w:p>
    <w:p w14:paraId="3704C5DC" w14:textId="57E45C5F" w:rsidR="00F846F8" w:rsidRDefault="00A54238" w:rsidP="00490CC3">
      <w:pPr>
        <w:pStyle w:val="text1"/>
      </w:pPr>
      <w:r w:rsidRPr="000A55D3">
        <w:t xml:space="preserve">At </w:t>
      </w:r>
      <w:r w:rsidR="007A6177" w:rsidRPr="000A55D3">
        <w:t xml:space="preserve">the end of </w:t>
      </w:r>
      <w:r w:rsidRPr="000A55D3">
        <w:t>20</w:t>
      </w:r>
      <w:r w:rsidR="00DD5BAC">
        <w:t>20</w:t>
      </w:r>
      <w:r w:rsidRPr="000A55D3">
        <w:t xml:space="preserve">, there were approximately </w:t>
      </w:r>
      <w:r w:rsidR="002D44A5">
        <w:t>1</w:t>
      </w:r>
      <w:r w:rsidR="00490CC3">
        <w:t>80</w:t>
      </w:r>
      <w:r w:rsidR="002D44A5">
        <w:t>,000</w:t>
      </w:r>
      <w:r w:rsidRPr="000A55D3">
        <w:t xml:space="preserve"> Christians living in Israel, </w:t>
      </w:r>
      <w:r w:rsidR="007A6177" w:rsidRPr="000A55D3">
        <w:t>com</w:t>
      </w:r>
      <w:r w:rsidRPr="000A55D3">
        <w:t>pris</w:t>
      </w:r>
      <w:r w:rsidR="007A6177" w:rsidRPr="000A55D3">
        <w:t>ing</w:t>
      </w:r>
      <w:r w:rsidRPr="000A55D3">
        <w:t xml:space="preserve"> </w:t>
      </w:r>
      <w:r w:rsidR="007A6177" w:rsidRPr="000A55D3">
        <w:t>1</w:t>
      </w:r>
      <w:r w:rsidRPr="000A55D3">
        <w:t>.</w:t>
      </w:r>
      <w:r w:rsidR="007A6177" w:rsidRPr="000A55D3">
        <w:t>9</w:t>
      </w:r>
      <w:r w:rsidRPr="000A55D3">
        <w:t xml:space="preserve">% of the total population </w:t>
      </w:r>
      <w:r w:rsidR="00EF06ED" w:rsidRPr="000A55D3">
        <w:t xml:space="preserve">in Israel: </w:t>
      </w:r>
      <w:r w:rsidR="002D44A5">
        <w:t>7</w:t>
      </w:r>
      <w:r w:rsidR="00490CC3">
        <w:t>6</w:t>
      </w:r>
      <w:r w:rsidR="002D44A5">
        <w:t>.</w:t>
      </w:r>
      <w:r w:rsidR="00490CC3">
        <w:t>7</w:t>
      </w:r>
      <w:r w:rsidR="00EF06ED" w:rsidRPr="000A55D3">
        <w:t>% of the Christian population in Israel (</w:t>
      </w:r>
      <w:r w:rsidR="00062F12">
        <w:t>13</w:t>
      </w:r>
      <w:r w:rsidR="00490CC3">
        <w:t>7</w:t>
      </w:r>
      <w:r w:rsidR="00062F12">
        <w:t>,600</w:t>
      </w:r>
      <w:r w:rsidR="00EF06ED" w:rsidRPr="000A55D3">
        <w:t xml:space="preserve">) were Arab Christians, comprising </w:t>
      </w:r>
      <w:r w:rsidR="00062F12">
        <w:t>7.</w:t>
      </w:r>
      <w:r w:rsidR="00490CC3">
        <w:t>0</w:t>
      </w:r>
      <w:r w:rsidR="00EF06ED" w:rsidRPr="000A55D3">
        <w:t>% of the total Arab population in Israel</w:t>
      </w:r>
      <w:r w:rsidR="00F846F8">
        <w:t>.</w:t>
      </w:r>
    </w:p>
    <w:p w14:paraId="4D275A85" w14:textId="213D4713" w:rsidR="00A54238" w:rsidRDefault="008F14C8" w:rsidP="00D2642D">
      <w:pPr>
        <w:pStyle w:val="text1"/>
      </w:pPr>
      <w:r>
        <w:t>O</w:t>
      </w:r>
      <w:r w:rsidR="00EF06ED" w:rsidRPr="000A55D3">
        <w:t>f the Christian population in Israel</w:t>
      </w:r>
      <w:r>
        <w:t>, 2</w:t>
      </w:r>
      <w:r w:rsidR="00D2642D">
        <w:t>3</w:t>
      </w:r>
      <w:r>
        <w:t>.</w:t>
      </w:r>
      <w:r w:rsidR="00490CC3">
        <w:t>3</w:t>
      </w:r>
      <w:r>
        <w:t>%</w:t>
      </w:r>
      <w:r w:rsidR="00EF06ED" w:rsidRPr="000A55D3">
        <w:t xml:space="preserve"> (</w:t>
      </w:r>
      <w:r w:rsidR="0099346F">
        <w:t>4</w:t>
      </w:r>
      <w:r w:rsidR="00490CC3">
        <w:t>1</w:t>
      </w:r>
      <w:r w:rsidR="0099346F">
        <w:t>,</w:t>
      </w:r>
      <w:r w:rsidR="00490CC3">
        <w:t>9</w:t>
      </w:r>
      <w:r w:rsidR="0099346F">
        <w:t>00</w:t>
      </w:r>
      <w:r w:rsidR="00EF06ED" w:rsidRPr="000A55D3">
        <w:t xml:space="preserve">) were non-Arab Christians. </w:t>
      </w:r>
      <w:r w:rsidR="00B474E9">
        <w:t>M</w:t>
      </w:r>
      <w:r w:rsidR="00EF06ED" w:rsidRPr="000A55D3">
        <w:t>ost of them (including their children who were born in Israel) immigrated to the country with their Jewish family members under the Law of Return</w:t>
      </w:r>
      <w:r w:rsidR="00B474E9">
        <w:t xml:space="preserve"> during the 1990s.</w:t>
      </w:r>
    </w:p>
    <w:p w14:paraId="6A5FFD99" w14:textId="52588DA3" w:rsidR="00490CC3" w:rsidRPr="009C6990" w:rsidRDefault="00490CC3" w:rsidP="00D2642D">
      <w:pPr>
        <w:pStyle w:val="text1"/>
      </w:pPr>
      <w:r>
        <w:t>T</w:t>
      </w:r>
      <w:r w:rsidRPr="000A55D3">
        <w:t xml:space="preserve">he growth rate of the </w:t>
      </w:r>
      <w:r w:rsidRPr="00900535">
        <w:rPr>
          <w:b/>
          <w:bCs/>
        </w:rPr>
        <w:t>overall Christian population</w:t>
      </w:r>
      <w:r w:rsidRPr="000A55D3">
        <w:t xml:space="preserve"> was </w:t>
      </w:r>
      <w:r>
        <w:t>1.4</w:t>
      </w:r>
      <w:r w:rsidRPr="000A55D3">
        <w:t>%</w:t>
      </w:r>
      <w:r>
        <w:t xml:space="preserve"> in 2020.</w:t>
      </w:r>
      <w:r w:rsidRPr="000A55D3">
        <w:t xml:space="preserve"> </w:t>
      </w:r>
      <w:r>
        <w:t>By way of comparison,</w:t>
      </w:r>
      <w:r w:rsidRPr="000A55D3">
        <w:t xml:space="preserve"> the growth rate of the Jewish </w:t>
      </w:r>
      <w:r>
        <w:t>population was</w:t>
      </w:r>
      <w:r w:rsidR="00D2642D">
        <w:t xml:space="preserve"> 1.5%</w:t>
      </w:r>
      <w:r>
        <w:t xml:space="preserve">, </w:t>
      </w:r>
      <w:r w:rsidRPr="000A55D3">
        <w:t xml:space="preserve">and </w:t>
      </w:r>
      <w:r>
        <w:t xml:space="preserve">that of the </w:t>
      </w:r>
      <w:r w:rsidRPr="000A55D3">
        <w:t>Moslem population</w:t>
      </w:r>
      <w:r>
        <w:t xml:space="preserve"> was 2.2%</w:t>
      </w:r>
      <w:r w:rsidRPr="000A55D3">
        <w:t>. During the course of 20</w:t>
      </w:r>
      <w:r>
        <w:t>20</w:t>
      </w:r>
      <w:r w:rsidRPr="000A55D3">
        <w:t>, the Christian population grew by 2,</w:t>
      </w:r>
      <w:r>
        <w:t>392</w:t>
      </w:r>
      <w:r w:rsidRPr="000A55D3">
        <w:t xml:space="preserve"> persons, of whom 1,</w:t>
      </w:r>
      <w:r>
        <w:t>028</w:t>
      </w:r>
      <w:r w:rsidRPr="000A55D3">
        <w:t xml:space="preserve"> were added as a result of natural increase</w:t>
      </w:r>
      <w:r>
        <w:t>. A</w:t>
      </w:r>
      <w:r w:rsidRPr="000A55D3">
        <w:t xml:space="preserve">nother </w:t>
      </w:r>
      <w:r>
        <w:t>1,257</w:t>
      </w:r>
      <w:r w:rsidRPr="000A55D3">
        <w:t xml:space="preserve"> Christians were added to the Israeli population in the international migration balance, </w:t>
      </w:r>
      <w:r>
        <w:t>compared to</w:t>
      </w:r>
      <w:r w:rsidRPr="000A55D3">
        <w:t xml:space="preserve"> </w:t>
      </w:r>
      <w:r>
        <w:t>1,425</w:t>
      </w:r>
      <w:r w:rsidRPr="000A55D3">
        <w:t xml:space="preserve"> </w:t>
      </w:r>
      <w:r>
        <w:t>in</w:t>
      </w:r>
      <w:r w:rsidRPr="000A55D3">
        <w:t xml:space="preserve"> the previous year.</w:t>
      </w:r>
    </w:p>
    <w:p w14:paraId="19E68F02" w14:textId="0347B0DA" w:rsidR="005E0F08" w:rsidRPr="005E0F08" w:rsidRDefault="005E0F08" w:rsidP="00490CC3">
      <w:pPr>
        <w:pStyle w:val="diagramheading"/>
        <w:spacing w:after="0"/>
      </w:pPr>
      <w:r w:rsidRPr="0091147B">
        <w:t>Diagram 1</w:t>
      </w:r>
      <w:r w:rsidR="009A5B5D" w:rsidRPr="0091147B">
        <w:t xml:space="preserve"> -</w:t>
      </w:r>
      <w:r w:rsidRPr="0091147B">
        <w:t xml:space="preserve"> The Christian Population of Israel, 1950–20</w:t>
      </w:r>
      <w:r w:rsidR="00490CC3" w:rsidRPr="0091147B">
        <w:t>20</w:t>
      </w:r>
      <w:r w:rsidRPr="0091147B">
        <w:t xml:space="preserve"> (1)</w:t>
      </w:r>
    </w:p>
    <w:p w14:paraId="3D090B2E" w14:textId="20781954" w:rsidR="005E0F08" w:rsidRDefault="0091147B" w:rsidP="00865A59">
      <w:pPr>
        <w:pStyle w:val="center"/>
        <w:spacing w:after="0"/>
      </w:pPr>
      <w:r>
        <w:drawing>
          <wp:inline distT="0" distB="0" distL="0" distR="0" wp14:anchorId="686FEBEF" wp14:editId="25027015">
            <wp:extent cx="6182360" cy="3579262"/>
            <wp:effectExtent l="0" t="0" r="0" b="2540"/>
            <wp:docPr id="7" name="Picture 7" descr="Diagram 1 - The Christian Population of Israel, 1950–2020 (1)" title="Diagram 1 - The Christian Population of Israel, 1950–2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4487" cy="3580493"/>
                    </a:xfrm>
                    <a:prstGeom prst="rect">
                      <a:avLst/>
                    </a:prstGeom>
                    <a:noFill/>
                  </pic:spPr>
                </pic:pic>
              </a:graphicData>
            </a:graphic>
          </wp:inline>
        </w:drawing>
      </w:r>
    </w:p>
    <w:p w14:paraId="1EFEBA2E" w14:textId="1C5EF012" w:rsidR="00555B9B" w:rsidRPr="00BC724E" w:rsidRDefault="00555B9B" w:rsidP="00865A59">
      <w:pPr>
        <w:pStyle w:val="aftertablenote"/>
        <w:numPr>
          <w:ilvl w:val="0"/>
          <w:numId w:val="43"/>
        </w:numPr>
        <w:spacing w:after="0"/>
        <w:rPr>
          <w:spacing w:val="-4"/>
        </w:rPr>
      </w:pPr>
      <w:r>
        <w:t xml:space="preserve">Until 1994, </w:t>
      </w:r>
      <w:r w:rsidR="002E69CA">
        <w:t>the Christian population also included persons who were not classified by religion in the Population Regist</w:t>
      </w:r>
      <w:r w:rsidR="00646044">
        <w:t>e</w:t>
      </w:r>
      <w:r w:rsidR="002E69CA">
        <w:t xml:space="preserve">r. </w:t>
      </w:r>
      <w:r w:rsidR="00D2642D">
        <w:t>Between</w:t>
      </w:r>
      <w:r w:rsidR="002E69CA">
        <w:t xml:space="preserve"> 1990 </w:t>
      </w:r>
      <w:r w:rsidR="00D2642D">
        <w:t>and</w:t>
      </w:r>
      <w:r w:rsidR="002E69CA">
        <w:t xml:space="preserve"> 1994, the population of persons who were </w:t>
      </w:r>
      <w:r w:rsidR="002E69CA" w:rsidRPr="00BC724E">
        <w:rPr>
          <w:spacing w:val="-4"/>
        </w:rPr>
        <w:t>thus unclassified was relatively large, and included</w:t>
      </w:r>
      <w:r w:rsidR="00E36876" w:rsidRPr="00BC724E">
        <w:rPr>
          <w:spacing w:val="-4"/>
        </w:rPr>
        <w:t xml:space="preserve"> the</w:t>
      </w:r>
      <w:r w:rsidR="002E69CA" w:rsidRPr="00BC724E">
        <w:rPr>
          <w:spacing w:val="-4"/>
        </w:rPr>
        <w:t xml:space="preserve"> immigrants from the </w:t>
      </w:r>
      <w:r w:rsidR="0044356F">
        <w:rPr>
          <w:spacing w:val="-4"/>
        </w:rPr>
        <w:t>USSR (former)</w:t>
      </w:r>
      <w:r w:rsidR="002E69CA" w:rsidRPr="00BC724E">
        <w:rPr>
          <w:spacing w:val="-4"/>
        </w:rPr>
        <w:t>.</w:t>
      </w:r>
    </w:p>
    <w:p w14:paraId="2D3941B7" w14:textId="00C95287" w:rsidR="00CB7548" w:rsidRPr="00E640C9" w:rsidRDefault="00514383" w:rsidP="00865A59">
      <w:pPr>
        <w:pStyle w:val="aftertablenote"/>
        <w:numPr>
          <w:ilvl w:val="0"/>
          <w:numId w:val="43"/>
        </w:numPr>
      </w:pPr>
      <w:r>
        <w:t xml:space="preserve">The </w:t>
      </w:r>
      <w:r w:rsidR="00646044">
        <w:t xml:space="preserve">figure </w:t>
      </w:r>
      <w:r w:rsidR="00F02D45">
        <w:t>is based on the census for that year.</w:t>
      </w:r>
    </w:p>
    <w:p w14:paraId="7CEB9F9C" w14:textId="77777777" w:rsidR="005F3051" w:rsidRDefault="005F3051">
      <w:pPr>
        <w:bidi w:val="0"/>
        <w:rPr>
          <w:rFonts w:ascii="Arial" w:hAnsi="Arial" w:cs="Arial"/>
          <w:szCs w:val="24"/>
        </w:rPr>
      </w:pPr>
      <w:r>
        <w:br w:type="page"/>
      </w:r>
    </w:p>
    <w:p w14:paraId="726AEE34" w14:textId="491670A1" w:rsidR="00AD4BF0" w:rsidRPr="000A55D3" w:rsidRDefault="00AD4BF0" w:rsidP="00DE2DE5">
      <w:pPr>
        <w:pStyle w:val="diagramheading"/>
        <w:spacing w:after="0"/>
      </w:pPr>
      <w:r w:rsidRPr="000A55D3">
        <w:t>Table A</w:t>
      </w:r>
      <w:r w:rsidR="00AD0CD4">
        <w:t xml:space="preserve"> -</w:t>
      </w:r>
      <w:r w:rsidRPr="000A55D3">
        <w:t xml:space="preserve"> The Sources of Growth in the Christian Population, 20</w:t>
      </w:r>
      <w:r w:rsidR="00DE2DE5">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A - The Sources of Growth in the Christian Population, 2020"/>
        <w:tblDescription w:val="Table A - The Sources of Growth in the Christian Population, 2020"/>
      </w:tblPr>
      <w:tblGrid>
        <w:gridCol w:w="2827"/>
        <w:gridCol w:w="1843"/>
        <w:gridCol w:w="2106"/>
        <w:gridCol w:w="1805"/>
        <w:gridCol w:w="1847"/>
      </w:tblGrid>
      <w:tr w:rsidR="00DE2DE5" w:rsidRPr="000A55D3" w14:paraId="7A84F954" w14:textId="77777777" w:rsidTr="00DE2DE5">
        <w:trPr>
          <w:tblHeader/>
          <w:jc w:val="center"/>
        </w:trPr>
        <w:tc>
          <w:tcPr>
            <w:tcW w:w="2827" w:type="dxa"/>
            <w:shd w:val="clear" w:color="auto" w:fill="D9D9D9" w:themeFill="background1" w:themeFillShade="D9"/>
            <w:vAlign w:val="center"/>
          </w:tcPr>
          <w:p w14:paraId="0B4139C1" w14:textId="745A84F0" w:rsidR="00DE2DE5" w:rsidRPr="000A55D3" w:rsidRDefault="00DE2DE5" w:rsidP="00BC724E">
            <w:pPr>
              <w:tabs>
                <w:tab w:val="left" w:pos="0"/>
                <w:tab w:val="left" w:pos="72"/>
              </w:tabs>
              <w:bidi w:val="0"/>
              <w:jc w:val="center"/>
              <w:rPr>
                <w:rFonts w:ascii="Arial" w:hAnsi="Arial" w:cs="Arial"/>
                <w:b w:val="0"/>
                <w:bCs w:val="0"/>
                <w:szCs w:val="24"/>
              </w:rPr>
            </w:pPr>
            <w:r w:rsidRPr="000A55D3">
              <w:rPr>
                <w:rFonts w:ascii="Arial" w:hAnsi="Arial" w:cs="Arial"/>
                <w:b w:val="0"/>
                <w:bCs w:val="0"/>
                <w:szCs w:val="24"/>
              </w:rPr>
              <w:t xml:space="preserve">Distribution of the Christian </w:t>
            </w:r>
            <w:r w:rsidR="00BC724E">
              <w:rPr>
                <w:rFonts w:ascii="Arial" w:hAnsi="Arial" w:cs="Arial"/>
                <w:b w:val="0"/>
                <w:bCs w:val="0"/>
                <w:szCs w:val="24"/>
              </w:rPr>
              <w:t>p</w:t>
            </w:r>
            <w:r w:rsidRPr="000A55D3">
              <w:rPr>
                <w:rFonts w:ascii="Arial" w:hAnsi="Arial" w:cs="Arial"/>
                <w:b w:val="0"/>
                <w:bCs w:val="0"/>
                <w:szCs w:val="24"/>
              </w:rPr>
              <w:t>opulation</w:t>
            </w:r>
          </w:p>
        </w:tc>
        <w:tc>
          <w:tcPr>
            <w:tcW w:w="1843" w:type="dxa"/>
            <w:shd w:val="clear" w:color="auto" w:fill="D9D9D9" w:themeFill="background1" w:themeFillShade="D9"/>
            <w:vAlign w:val="center"/>
          </w:tcPr>
          <w:p w14:paraId="60515423" w14:textId="4A6191AA" w:rsidR="00DE2DE5" w:rsidRPr="000A55D3" w:rsidRDefault="00DE2DE5" w:rsidP="00391551">
            <w:pPr>
              <w:tabs>
                <w:tab w:val="left" w:pos="0"/>
                <w:tab w:val="left" w:pos="72"/>
              </w:tabs>
              <w:bidi w:val="0"/>
              <w:spacing w:before="120" w:after="120"/>
              <w:jc w:val="center"/>
              <w:rPr>
                <w:rFonts w:ascii="Arial" w:hAnsi="Arial" w:cs="Arial"/>
                <w:b w:val="0"/>
                <w:bCs w:val="0"/>
                <w:szCs w:val="24"/>
                <w:rtl/>
              </w:rPr>
            </w:pPr>
            <w:r w:rsidRPr="000A55D3">
              <w:rPr>
                <w:rFonts w:ascii="Arial" w:hAnsi="Arial" w:cs="Arial"/>
                <w:b w:val="0"/>
                <w:bCs w:val="0"/>
                <w:szCs w:val="24"/>
              </w:rPr>
              <w:t xml:space="preserve">Natural </w:t>
            </w:r>
            <w:r w:rsidR="00391551">
              <w:rPr>
                <w:rFonts w:ascii="Arial" w:hAnsi="Arial" w:cs="Arial"/>
                <w:b w:val="0"/>
                <w:bCs w:val="0"/>
                <w:szCs w:val="24"/>
              </w:rPr>
              <w:t>i</w:t>
            </w:r>
            <w:r w:rsidRPr="000A55D3">
              <w:rPr>
                <w:rFonts w:ascii="Arial" w:hAnsi="Arial" w:cs="Arial"/>
                <w:b w:val="0"/>
                <w:bCs w:val="0"/>
                <w:szCs w:val="24"/>
              </w:rPr>
              <w:t>ncrease</w:t>
            </w:r>
            <w:r>
              <w:rPr>
                <w:rFonts w:ascii="Arial" w:hAnsi="Arial" w:cs="Arial"/>
                <w:b w:val="0"/>
                <w:bCs w:val="0"/>
                <w:szCs w:val="24"/>
              </w:rPr>
              <w:t>,</w:t>
            </w:r>
            <w:r w:rsidRPr="000A55D3">
              <w:rPr>
                <w:rFonts w:ascii="Arial" w:hAnsi="Arial" w:cs="Arial"/>
                <w:b w:val="0"/>
                <w:bCs w:val="0"/>
                <w:szCs w:val="24"/>
              </w:rPr>
              <w:t xml:space="preserve"> </w:t>
            </w:r>
            <w:r w:rsidR="00391551">
              <w:rPr>
                <w:rFonts w:ascii="Arial" w:hAnsi="Arial" w:cs="Arial"/>
                <w:b w:val="0"/>
                <w:bCs w:val="0"/>
                <w:szCs w:val="24"/>
              </w:rPr>
              <w:t>a</w:t>
            </w:r>
            <w:r w:rsidRPr="000A55D3">
              <w:rPr>
                <w:rFonts w:ascii="Arial" w:hAnsi="Arial" w:cs="Arial"/>
                <w:b w:val="0"/>
                <w:bCs w:val="0"/>
                <w:szCs w:val="24"/>
              </w:rPr>
              <w:t xml:space="preserve">bsolute </w:t>
            </w:r>
            <w:r w:rsidR="00391551">
              <w:rPr>
                <w:rFonts w:ascii="Arial" w:hAnsi="Arial" w:cs="Arial"/>
                <w:b w:val="0"/>
                <w:bCs w:val="0"/>
                <w:szCs w:val="24"/>
              </w:rPr>
              <w:t>n</w:t>
            </w:r>
            <w:r w:rsidRPr="000A55D3">
              <w:rPr>
                <w:rFonts w:ascii="Arial" w:hAnsi="Arial" w:cs="Arial"/>
                <w:b w:val="0"/>
                <w:bCs w:val="0"/>
                <w:szCs w:val="24"/>
              </w:rPr>
              <w:t>umbers</w:t>
            </w:r>
          </w:p>
        </w:tc>
        <w:tc>
          <w:tcPr>
            <w:tcW w:w="2106" w:type="dxa"/>
            <w:shd w:val="clear" w:color="auto" w:fill="D9D9D9" w:themeFill="background1" w:themeFillShade="D9"/>
            <w:vAlign w:val="center"/>
          </w:tcPr>
          <w:p w14:paraId="2B15B74E" w14:textId="4D6DFECB" w:rsidR="00DE2DE5" w:rsidRPr="000A55D3" w:rsidRDefault="00DE2DE5" w:rsidP="00391551">
            <w:pPr>
              <w:tabs>
                <w:tab w:val="left" w:pos="0"/>
                <w:tab w:val="left" w:pos="72"/>
              </w:tabs>
              <w:bidi w:val="0"/>
              <w:spacing w:before="120" w:after="120"/>
              <w:jc w:val="center"/>
              <w:rPr>
                <w:rFonts w:ascii="Arial" w:hAnsi="Arial" w:cs="Arial"/>
                <w:b w:val="0"/>
                <w:bCs w:val="0"/>
                <w:szCs w:val="24"/>
              </w:rPr>
            </w:pPr>
            <w:r w:rsidRPr="000A55D3">
              <w:rPr>
                <w:rFonts w:ascii="Arial" w:hAnsi="Arial" w:cs="Arial"/>
                <w:b w:val="0"/>
                <w:bCs w:val="0"/>
                <w:szCs w:val="24"/>
              </w:rPr>
              <w:t xml:space="preserve">International </w:t>
            </w:r>
            <w:r w:rsidR="00391551">
              <w:rPr>
                <w:rFonts w:ascii="Arial" w:hAnsi="Arial" w:cs="Arial"/>
                <w:b w:val="0"/>
                <w:bCs w:val="0"/>
                <w:szCs w:val="24"/>
              </w:rPr>
              <w:t>m</w:t>
            </w:r>
            <w:r w:rsidRPr="000A55D3">
              <w:rPr>
                <w:rFonts w:ascii="Arial" w:hAnsi="Arial" w:cs="Arial"/>
                <w:b w:val="0"/>
                <w:bCs w:val="0"/>
                <w:szCs w:val="24"/>
              </w:rPr>
              <w:t xml:space="preserve">igration </w:t>
            </w:r>
            <w:r w:rsidR="00391551">
              <w:rPr>
                <w:rFonts w:ascii="Arial" w:hAnsi="Arial" w:cs="Arial"/>
                <w:b w:val="0"/>
                <w:bCs w:val="0"/>
                <w:szCs w:val="24"/>
              </w:rPr>
              <w:t>b</w:t>
            </w:r>
            <w:r w:rsidRPr="000A55D3">
              <w:rPr>
                <w:rFonts w:ascii="Arial" w:hAnsi="Arial" w:cs="Arial"/>
                <w:b w:val="0"/>
                <w:bCs w:val="0"/>
                <w:szCs w:val="24"/>
              </w:rPr>
              <w:t>alance</w:t>
            </w:r>
            <w:r>
              <w:rPr>
                <w:rFonts w:ascii="Arial" w:hAnsi="Arial" w:cs="Arial"/>
                <w:b w:val="0"/>
                <w:bCs w:val="0"/>
                <w:szCs w:val="24"/>
              </w:rPr>
              <w:t>,</w:t>
            </w:r>
            <w:r w:rsidR="00391551">
              <w:rPr>
                <w:rFonts w:ascii="Arial" w:hAnsi="Arial" w:cs="Arial"/>
                <w:b w:val="0"/>
                <w:bCs w:val="0"/>
                <w:szCs w:val="24"/>
              </w:rPr>
              <w:br/>
              <w:t>a</w:t>
            </w:r>
            <w:r w:rsidRPr="000A55D3">
              <w:rPr>
                <w:rFonts w:ascii="Arial" w:hAnsi="Arial" w:cs="Arial"/>
                <w:b w:val="0"/>
                <w:bCs w:val="0"/>
                <w:szCs w:val="24"/>
              </w:rPr>
              <w:t xml:space="preserve">bsolute </w:t>
            </w:r>
            <w:r w:rsidR="00391551">
              <w:rPr>
                <w:rFonts w:ascii="Arial" w:hAnsi="Arial" w:cs="Arial"/>
                <w:b w:val="0"/>
                <w:bCs w:val="0"/>
                <w:szCs w:val="24"/>
              </w:rPr>
              <w:t>n</w:t>
            </w:r>
            <w:r w:rsidRPr="000A55D3">
              <w:rPr>
                <w:rFonts w:ascii="Arial" w:hAnsi="Arial" w:cs="Arial"/>
                <w:b w:val="0"/>
                <w:bCs w:val="0"/>
                <w:szCs w:val="24"/>
              </w:rPr>
              <w:t>umbers</w:t>
            </w:r>
          </w:p>
        </w:tc>
        <w:tc>
          <w:tcPr>
            <w:tcW w:w="1805" w:type="dxa"/>
            <w:shd w:val="clear" w:color="auto" w:fill="D9D9D9" w:themeFill="background1" w:themeFillShade="D9"/>
          </w:tcPr>
          <w:p w14:paraId="2B1B2B1C" w14:textId="44AF1626" w:rsidR="00391551" w:rsidRPr="00DE2DE5" w:rsidRDefault="00391551" w:rsidP="00391551">
            <w:pPr>
              <w:tabs>
                <w:tab w:val="left" w:pos="0"/>
                <w:tab w:val="left" w:pos="72"/>
              </w:tabs>
              <w:bidi w:val="0"/>
              <w:spacing w:before="120" w:after="120"/>
              <w:jc w:val="center"/>
              <w:rPr>
                <w:rFonts w:ascii="Arial" w:hAnsi="Arial" w:cs="Arial"/>
                <w:b w:val="0"/>
                <w:bCs w:val="0"/>
                <w:szCs w:val="24"/>
                <w:highlight w:val="yellow"/>
                <w:rtl/>
              </w:rPr>
            </w:pPr>
            <w:r w:rsidRPr="00391551">
              <w:rPr>
                <w:rFonts w:ascii="Arial" w:hAnsi="Arial" w:cs="Arial"/>
                <w:b w:val="0"/>
                <w:bCs w:val="0"/>
                <w:szCs w:val="24"/>
              </w:rPr>
              <w:t>Percentage of migration balance out of total growth</w:t>
            </w:r>
          </w:p>
        </w:tc>
        <w:tc>
          <w:tcPr>
            <w:tcW w:w="1847" w:type="dxa"/>
            <w:shd w:val="clear" w:color="auto" w:fill="D9D9D9" w:themeFill="background1" w:themeFillShade="D9"/>
            <w:vAlign w:val="center"/>
          </w:tcPr>
          <w:p w14:paraId="7B25F716" w14:textId="0FD59D6E" w:rsidR="00DE2DE5" w:rsidRPr="000A55D3" w:rsidRDefault="00DE2DE5" w:rsidP="00391551">
            <w:pPr>
              <w:tabs>
                <w:tab w:val="left" w:pos="0"/>
                <w:tab w:val="left" w:pos="72"/>
              </w:tabs>
              <w:bidi w:val="0"/>
              <w:spacing w:before="120" w:after="120"/>
              <w:jc w:val="center"/>
              <w:rPr>
                <w:rFonts w:ascii="Arial" w:hAnsi="Arial" w:cs="Arial"/>
                <w:b w:val="0"/>
                <w:bCs w:val="0"/>
                <w:szCs w:val="24"/>
                <w:rtl/>
              </w:rPr>
            </w:pPr>
            <w:r w:rsidRPr="000A55D3">
              <w:rPr>
                <w:rFonts w:ascii="Arial" w:hAnsi="Arial" w:cs="Arial"/>
                <w:b w:val="0"/>
                <w:bCs w:val="0"/>
                <w:szCs w:val="24"/>
              </w:rPr>
              <w:t xml:space="preserve">Percentage of </w:t>
            </w:r>
            <w:r w:rsidR="00391551">
              <w:rPr>
                <w:rFonts w:ascii="Arial" w:hAnsi="Arial" w:cs="Arial"/>
                <w:b w:val="0"/>
                <w:bCs w:val="0"/>
                <w:szCs w:val="24"/>
              </w:rPr>
              <w:t>a</w:t>
            </w:r>
            <w:r w:rsidRPr="000A55D3">
              <w:rPr>
                <w:rFonts w:ascii="Arial" w:hAnsi="Arial" w:cs="Arial"/>
                <w:b w:val="0"/>
                <w:bCs w:val="0"/>
                <w:szCs w:val="24"/>
              </w:rPr>
              <w:t xml:space="preserve">nnual </w:t>
            </w:r>
            <w:r w:rsidR="00391551">
              <w:rPr>
                <w:rFonts w:ascii="Arial" w:hAnsi="Arial" w:cs="Arial"/>
                <w:b w:val="0"/>
                <w:bCs w:val="0"/>
                <w:szCs w:val="24"/>
              </w:rPr>
              <w:t>i</w:t>
            </w:r>
            <w:r>
              <w:rPr>
                <w:rFonts w:ascii="Arial" w:hAnsi="Arial" w:cs="Arial"/>
                <w:b w:val="0"/>
                <w:bCs w:val="0"/>
                <w:szCs w:val="24"/>
              </w:rPr>
              <w:t>ncrease</w:t>
            </w:r>
          </w:p>
        </w:tc>
      </w:tr>
      <w:tr w:rsidR="00DE2DE5" w:rsidRPr="000A55D3" w14:paraId="506FFB8B" w14:textId="77777777" w:rsidTr="00DE2DE5">
        <w:trPr>
          <w:jc w:val="center"/>
        </w:trPr>
        <w:tc>
          <w:tcPr>
            <w:tcW w:w="2827" w:type="dxa"/>
            <w:shd w:val="clear" w:color="auto" w:fill="auto"/>
          </w:tcPr>
          <w:p w14:paraId="5A5E12E9" w14:textId="77777777" w:rsidR="00DE2DE5" w:rsidRPr="000A55D3" w:rsidRDefault="00DE2DE5" w:rsidP="008F0B3B">
            <w:pPr>
              <w:tabs>
                <w:tab w:val="left" w:pos="0"/>
                <w:tab w:val="left" w:pos="72"/>
              </w:tabs>
              <w:bidi w:val="0"/>
              <w:spacing w:before="120" w:after="120"/>
              <w:rPr>
                <w:rFonts w:ascii="Arial" w:hAnsi="Arial" w:cs="Arial"/>
                <w:b w:val="0"/>
                <w:bCs w:val="0"/>
                <w:szCs w:val="24"/>
                <w:rtl/>
              </w:rPr>
            </w:pPr>
            <w:r w:rsidRPr="000A55D3">
              <w:rPr>
                <w:rFonts w:ascii="Arial" w:hAnsi="Arial" w:cs="Arial"/>
                <w:szCs w:val="24"/>
              </w:rPr>
              <w:t>Total Christian</w:t>
            </w:r>
            <w:r w:rsidRPr="00B30DB8">
              <w:rPr>
                <w:rFonts w:ascii="Arial" w:hAnsi="Arial" w:cs="Arial"/>
                <w:szCs w:val="24"/>
              </w:rPr>
              <w:t>s</w:t>
            </w:r>
          </w:p>
        </w:tc>
        <w:tc>
          <w:tcPr>
            <w:tcW w:w="1843" w:type="dxa"/>
            <w:shd w:val="clear" w:color="auto" w:fill="auto"/>
            <w:vAlign w:val="center"/>
          </w:tcPr>
          <w:p w14:paraId="6608572C" w14:textId="66F8EE13" w:rsidR="00DE2DE5" w:rsidRPr="000A55D3" w:rsidRDefault="00DE2DE5" w:rsidP="00DE2DE5">
            <w:pPr>
              <w:tabs>
                <w:tab w:val="decimal" w:pos="1150"/>
              </w:tabs>
              <w:bidi w:val="0"/>
              <w:spacing w:before="120" w:after="120"/>
              <w:ind w:right="42"/>
              <w:rPr>
                <w:rFonts w:ascii="Arial" w:hAnsi="Arial" w:cs="Arial"/>
                <w:szCs w:val="24"/>
                <w:rtl/>
              </w:rPr>
            </w:pPr>
            <w:r>
              <w:rPr>
                <w:rFonts w:ascii="Arial" w:hAnsi="Arial" w:cs="Arial"/>
                <w:szCs w:val="24"/>
              </w:rPr>
              <w:t>1,028</w:t>
            </w:r>
          </w:p>
        </w:tc>
        <w:tc>
          <w:tcPr>
            <w:tcW w:w="2106" w:type="dxa"/>
            <w:shd w:val="clear" w:color="auto" w:fill="auto"/>
            <w:vAlign w:val="center"/>
          </w:tcPr>
          <w:p w14:paraId="69052DB7" w14:textId="5040F5CB" w:rsidR="00DE2DE5" w:rsidRPr="000A55D3" w:rsidRDefault="00DE2DE5" w:rsidP="00DE2DE5">
            <w:pPr>
              <w:tabs>
                <w:tab w:val="decimal" w:pos="1272"/>
              </w:tabs>
              <w:bidi w:val="0"/>
              <w:spacing w:before="120" w:after="120"/>
              <w:ind w:right="8"/>
              <w:rPr>
                <w:rFonts w:ascii="Arial" w:hAnsi="Arial" w:cs="Arial"/>
                <w:b w:val="0"/>
                <w:bCs w:val="0"/>
                <w:szCs w:val="24"/>
                <w:rtl/>
              </w:rPr>
            </w:pPr>
            <w:r>
              <w:rPr>
                <w:rFonts w:ascii="Arial" w:hAnsi="Arial" w:cs="Arial"/>
                <w:szCs w:val="24"/>
              </w:rPr>
              <w:t>1,257</w:t>
            </w:r>
          </w:p>
        </w:tc>
        <w:tc>
          <w:tcPr>
            <w:tcW w:w="1805" w:type="dxa"/>
          </w:tcPr>
          <w:p w14:paraId="729EF4D4" w14:textId="0D0AF28D" w:rsidR="00DE2DE5" w:rsidRDefault="00DE2DE5" w:rsidP="00DE2DE5">
            <w:pPr>
              <w:tabs>
                <w:tab w:val="decimal" w:pos="766"/>
              </w:tabs>
              <w:bidi w:val="0"/>
              <w:spacing w:before="120" w:after="120"/>
              <w:rPr>
                <w:rFonts w:ascii="Arial" w:hAnsi="Arial" w:cs="Arial"/>
                <w:szCs w:val="24"/>
              </w:rPr>
            </w:pPr>
            <w:r>
              <w:rPr>
                <w:rFonts w:ascii="Arial" w:hAnsi="Arial" w:cs="Arial"/>
                <w:szCs w:val="24"/>
              </w:rPr>
              <w:t>52.5</w:t>
            </w:r>
          </w:p>
        </w:tc>
        <w:tc>
          <w:tcPr>
            <w:tcW w:w="1847" w:type="dxa"/>
            <w:shd w:val="clear" w:color="auto" w:fill="auto"/>
            <w:vAlign w:val="center"/>
          </w:tcPr>
          <w:p w14:paraId="06B7B38E" w14:textId="4C51A11F" w:rsidR="00DE2DE5" w:rsidRPr="000A55D3" w:rsidRDefault="00DE2DE5" w:rsidP="00DE2DE5">
            <w:pPr>
              <w:tabs>
                <w:tab w:val="decimal" w:pos="766"/>
              </w:tabs>
              <w:bidi w:val="0"/>
              <w:spacing w:before="120" w:after="120"/>
              <w:rPr>
                <w:rFonts w:ascii="Arial" w:hAnsi="Arial" w:cs="Arial"/>
                <w:b w:val="0"/>
                <w:bCs w:val="0"/>
                <w:szCs w:val="24"/>
                <w:rtl/>
              </w:rPr>
            </w:pPr>
            <w:r>
              <w:rPr>
                <w:rFonts w:ascii="Arial" w:hAnsi="Arial" w:cs="Arial"/>
                <w:szCs w:val="24"/>
              </w:rPr>
              <w:t>1.4</w:t>
            </w:r>
          </w:p>
        </w:tc>
      </w:tr>
      <w:tr w:rsidR="00DE2DE5" w:rsidRPr="000A55D3" w14:paraId="4F3DB4BD" w14:textId="77777777" w:rsidTr="00DE2DE5">
        <w:trPr>
          <w:jc w:val="center"/>
        </w:trPr>
        <w:tc>
          <w:tcPr>
            <w:tcW w:w="2827" w:type="dxa"/>
            <w:shd w:val="clear" w:color="auto" w:fill="auto"/>
          </w:tcPr>
          <w:p w14:paraId="7311DCBC" w14:textId="77777777" w:rsidR="00DE2DE5" w:rsidRPr="000A55D3" w:rsidRDefault="00DE2DE5" w:rsidP="0038597E">
            <w:pPr>
              <w:bidi w:val="0"/>
              <w:spacing w:before="120" w:after="120"/>
              <w:ind w:left="157"/>
              <w:rPr>
                <w:rFonts w:ascii="Arial" w:hAnsi="Arial" w:cs="Arial"/>
                <w:b w:val="0"/>
                <w:bCs w:val="0"/>
                <w:szCs w:val="24"/>
                <w:rtl/>
              </w:rPr>
            </w:pPr>
            <w:r w:rsidRPr="000A55D3">
              <w:rPr>
                <w:rFonts w:ascii="Arial" w:hAnsi="Arial" w:cs="Arial"/>
                <w:b w:val="0"/>
                <w:bCs w:val="0"/>
                <w:szCs w:val="24"/>
              </w:rPr>
              <w:t>Arab Christians</w:t>
            </w:r>
          </w:p>
        </w:tc>
        <w:tc>
          <w:tcPr>
            <w:tcW w:w="1843" w:type="dxa"/>
            <w:shd w:val="clear" w:color="auto" w:fill="auto"/>
            <w:vAlign w:val="center"/>
          </w:tcPr>
          <w:p w14:paraId="0F4DFEF4" w14:textId="3D1A6B26" w:rsidR="00DE2DE5" w:rsidRPr="000A55D3" w:rsidRDefault="00DE2DE5" w:rsidP="001B3E1F">
            <w:pPr>
              <w:tabs>
                <w:tab w:val="decimal" w:pos="1150"/>
              </w:tabs>
              <w:bidi w:val="0"/>
              <w:spacing w:before="120" w:after="120"/>
              <w:ind w:right="42"/>
              <w:rPr>
                <w:rFonts w:ascii="Arial" w:hAnsi="Arial" w:cs="Arial"/>
                <w:b w:val="0"/>
                <w:bCs w:val="0"/>
                <w:szCs w:val="24"/>
                <w:rtl/>
              </w:rPr>
            </w:pPr>
            <w:r>
              <w:rPr>
                <w:rFonts w:ascii="Arial" w:hAnsi="Arial" w:cs="Arial"/>
                <w:b w:val="0"/>
                <w:bCs w:val="0"/>
                <w:szCs w:val="24"/>
              </w:rPr>
              <w:t>941</w:t>
            </w:r>
          </w:p>
        </w:tc>
        <w:tc>
          <w:tcPr>
            <w:tcW w:w="2106" w:type="dxa"/>
            <w:shd w:val="clear" w:color="auto" w:fill="auto"/>
            <w:vAlign w:val="center"/>
          </w:tcPr>
          <w:p w14:paraId="3E3A846C" w14:textId="271ECB11" w:rsidR="00DE2DE5" w:rsidRPr="000A55D3" w:rsidRDefault="00DE2DE5" w:rsidP="00E036B2">
            <w:pPr>
              <w:tabs>
                <w:tab w:val="decimal" w:pos="1272"/>
              </w:tabs>
              <w:bidi w:val="0"/>
              <w:spacing w:before="120" w:after="120"/>
              <w:ind w:right="8"/>
              <w:rPr>
                <w:rFonts w:ascii="Arial" w:hAnsi="Arial" w:cs="Arial"/>
                <w:b w:val="0"/>
                <w:bCs w:val="0"/>
                <w:szCs w:val="24"/>
                <w:rtl/>
              </w:rPr>
            </w:pPr>
            <w:r>
              <w:rPr>
                <w:rFonts w:ascii="Arial" w:hAnsi="Arial" w:cs="Arial"/>
                <w:b w:val="0"/>
                <w:bCs w:val="0"/>
                <w:szCs w:val="24"/>
              </w:rPr>
              <w:t>33</w:t>
            </w:r>
          </w:p>
        </w:tc>
        <w:tc>
          <w:tcPr>
            <w:tcW w:w="1805" w:type="dxa"/>
          </w:tcPr>
          <w:p w14:paraId="057F8FF9" w14:textId="6A7BDC34" w:rsidR="00DE2DE5" w:rsidRDefault="00DE2DE5" w:rsidP="00DE2DE5">
            <w:pPr>
              <w:tabs>
                <w:tab w:val="decimal" w:pos="766"/>
              </w:tabs>
              <w:bidi w:val="0"/>
              <w:spacing w:before="120" w:after="120"/>
              <w:rPr>
                <w:rFonts w:ascii="Arial" w:hAnsi="Arial" w:cs="Arial"/>
                <w:b w:val="0"/>
                <w:bCs w:val="0"/>
                <w:szCs w:val="24"/>
              </w:rPr>
            </w:pPr>
            <w:r>
              <w:rPr>
                <w:rFonts w:ascii="Arial" w:hAnsi="Arial" w:cs="Arial"/>
                <w:b w:val="0"/>
                <w:bCs w:val="0"/>
                <w:szCs w:val="24"/>
              </w:rPr>
              <w:t>3.1</w:t>
            </w:r>
          </w:p>
        </w:tc>
        <w:tc>
          <w:tcPr>
            <w:tcW w:w="1847" w:type="dxa"/>
            <w:shd w:val="clear" w:color="auto" w:fill="auto"/>
            <w:vAlign w:val="center"/>
          </w:tcPr>
          <w:p w14:paraId="65F6FC66" w14:textId="57236FA9" w:rsidR="00DE2DE5" w:rsidRPr="000A55D3" w:rsidRDefault="00DE2DE5" w:rsidP="00DE2DE5">
            <w:pPr>
              <w:tabs>
                <w:tab w:val="decimal" w:pos="766"/>
              </w:tabs>
              <w:bidi w:val="0"/>
              <w:spacing w:before="120" w:after="120"/>
              <w:rPr>
                <w:rFonts w:ascii="Arial" w:hAnsi="Arial" w:cs="Arial"/>
                <w:b w:val="0"/>
                <w:bCs w:val="0"/>
                <w:szCs w:val="24"/>
                <w:rtl/>
              </w:rPr>
            </w:pPr>
            <w:r>
              <w:rPr>
                <w:rFonts w:ascii="Arial" w:hAnsi="Arial" w:cs="Arial"/>
                <w:b w:val="0"/>
                <w:bCs w:val="0"/>
                <w:szCs w:val="24"/>
              </w:rPr>
              <w:t>0.8</w:t>
            </w:r>
          </w:p>
        </w:tc>
      </w:tr>
      <w:tr w:rsidR="00DE2DE5" w:rsidRPr="000A55D3" w14:paraId="19B56DCA" w14:textId="77777777" w:rsidTr="00DE2DE5">
        <w:trPr>
          <w:jc w:val="center"/>
        </w:trPr>
        <w:tc>
          <w:tcPr>
            <w:tcW w:w="2827" w:type="dxa"/>
            <w:shd w:val="clear" w:color="auto" w:fill="auto"/>
          </w:tcPr>
          <w:p w14:paraId="0D4B8EC7" w14:textId="77777777" w:rsidR="00DE2DE5" w:rsidRPr="000A55D3" w:rsidRDefault="00DE2DE5" w:rsidP="0038597E">
            <w:pPr>
              <w:bidi w:val="0"/>
              <w:spacing w:before="120" w:after="120"/>
              <w:ind w:left="157"/>
              <w:rPr>
                <w:rFonts w:ascii="Arial" w:hAnsi="Arial" w:cs="Arial"/>
                <w:b w:val="0"/>
                <w:bCs w:val="0"/>
                <w:szCs w:val="24"/>
                <w:rtl/>
              </w:rPr>
            </w:pPr>
            <w:r w:rsidRPr="000A55D3">
              <w:rPr>
                <w:rFonts w:ascii="Arial" w:hAnsi="Arial" w:cs="Arial"/>
                <w:b w:val="0"/>
                <w:bCs w:val="0"/>
                <w:szCs w:val="24"/>
              </w:rPr>
              <w:t>Non-Arab Christians</w:t>
            </w:r>
          </w:p>
        </w:tc>
        <w:tc>
          <w:tcPr>
            <w:tcW w:w="1843" w:type="dxa"/>
            <w:shd w:val="clear" w:color="auto" w:fill="auto"/>
            <w:vAlign w:val="center"/>
          </w:tcPr>
          <w:p w14:paraId="26B13326" w14:textId="1F3136AA" w:rsidR="00DE2DE5" w:rsidRPr="000A55D3" w:rsidRDefault="00DE2DE5" w:rsidP="001B3E1F">
            <w:pPr>
              <w:tabs>
                <w:tab w:val="decimal" w:pos="1150"/>
              </w:tabs>
              <w:bidi w:val="0"/>
              <w:spacing w:before="120" w:after="120"/>
              <w:ind w:right="42"/>
              <w:rPr>
                <w:rFonts w:ascii="Arial" w:hAnsi="Arial" w:cs="Arial"/>
                <w:b w:val="0"/>
                <w:bCs w:val="0"/>
                <w:szCs w:val="24"/>
                <w:rtl/>
              </w:rPr>
            </w:pPr>
            <w:r>
              <w:rPr>
                <w:rFonts w:ascii="Arial" w:hAnsi="Arial" w:cs="Arial"/>
                <w:b w:val="0"/>
                <w:bCs w:val="0"/>
                <w:szCs w:val="24"/>
              </w:rPr>
              <w:t>87</w:t>
            </w:r>
          </w:p>
        </w:tc>
        <w:tc>
          <w:tcPr>
            <w:tcW w:w="2106" w:type="dxa"/>
            <w:shd w:val="clear" w:color="auto" w:fill="auto"/>
            <w:vAlign w:val="center"/>
          </w:tcPr>
          <w:p w14:paraId="7703FDE3" w14:textId="3696E03E" w:rsidR="00DE2DE5" w:rsidRPr="000A55D3" w:rsidRDefault="00DE2DE5" w:rsidP="00DE2DE5">
            <w:pPr>
              <w:tabs>
                <w:tab w:val="decimal" w:pos="1272"/>
              </w:tabs>
              <w:bidi w:val="0"/>
              <w:spacing w:before="120" w:after="120"/>
              <w:ind w:right="8"/>
              <w:rPr>
                <w:rFonts w:ascii="Arial" w:hAnsi="Arial" w:cs="Arial"/>
                <w:b w:val="0"/>
                <w:bCs w:val="0"/>
                <w:szCs w:val="24"/>
                <w:rtl/>
              </w:rPr>
            </w:pPr>
            <w:r>
              <w:rPr>
                <w:rFonts w:ascii="Arial" w:hAnsi="Arial" w:cs="Arial"/>
                <w:b w:val="0"/>
                <w:bCs w:val="0"/>
                <w:szCs w:val="24"/>
              </w:rPr>
              <w:t>1,224</w:t>
            </w:r>
          </w:p>
        </w:tc>
        <w:tc>
          <w:tcPr>
            <w:tcW w:w="1805" w:type="dxa"/>
          </w:tcPr>
          <w:p w14:paraId="17236506" w14:textId="6927B5A7" w:rsidR="00DE2DE5" w:rsidRDefault="00DE2DE5" w:rsidP="00DE2DE5">
            <w:pPr>
              <w:tabs>
                <w:tab w:val="decimal" w:pos="766"/>
              </w:tabs>
              <w:bidi w:val="0"/>
              <w:spacing w:before="120" w:after="120"/>
              <w:rPr>
                <w:rFonts w:ascii="Arial" w:hAnsi="Arial" w:cs="Arial"/>
                <w:b w:val="0"/>
                <w:bCs w:val="0"/>
                <w:szCs w:val="24"/>
              </w:rPr>
            </w:pPr>
            <w:r>
              <w:rPr>
                <w:rFonts w:ascii="Arial" w:hAnsi="Arial" w:cs="Arial"/>
                <w:b w:val="0"/>
                <w:bCs w:val="0"/>
                <w:szCs w:val="24"/>
              </w:rPr>
              <w:t>93.1</w:t>
            </w:r>
          </w:p>
        </w:tc>
        <w:tc>
          <w:tcPr>
            <w:tcW w:w="1847" w:type="dxa"/>
            <w:shd w:val="clear" w:color="auto" w:fill="auto"/>
            <w:vAlign w:val="center"/>
          </w:tcPr>
          <w:p w14:paraId="6F2FD96F" w14:textId="09C2F450" w:rsidR="00DE2DE5" w:rsidRPr="000A55D3" w:rsidRDefault="00DE2DE5" w:rsidP="00DE2DE5">
            <w:pPr>
              <w:tabs>
                <w:tab w:val="decimal" w:pos="766"/>
              </w:tabs>
              <w:bidi w:val="0"/>
              <w:spacing w:before="120" w:after="120"/>
              <w:rPr>
                <w:rFonts w:ascii="Arial" w:hAnsi="Arial" w:cs="Arial"/>
                <w:b w:val="0"/>
                <w:bCs w:val="0"/>
                <w:szCs w:val="24"/>
                <w:rtl/>
              </w:rPr>
            </w:pPr>
            <w:r>
              <w:rPr>
                <w:rFonts w:ascii="Arial" w:hAnsi="Arial" w:cs="Arial"/>
                <w:b w:val="0"/>
                <w:bCs w:val="0"/>
                <w:szCs w:val="24"/>
              </w:rPr>
              <w:t>3.2</w:t>
            </w:r>
          </w:p>
        </w:tc>
      </w:tr>
    </w:tbl>
    <w:p w14:paraId="36F83022" w14:textId="6CAF3FC6" w:rsidR="00DE2DE5" w:rsidRDefault="00DE2DE5" w:rsidP="0044356F">
      <w:pPr>
        <w:pStyle w:val="text1"/>
        <w:spacing w:before="360"/>
      </w:pPr>
      <w:r w:rsidRPr="00E640C9">
        <w:rPr>
          <w:b/>
          <w:bCs/>
        </w:rPr>
        <w:t>The Arab Christian population</w:t>
      </w:r>
      <w:r w:rsidRPr="000A55D3">
        <w:t xml:space="preserve"> grew by </w:t>
      </w:r>
      <w:r>
        <w:t>0</w:t>
      </w:r>
      <w:r w:rsidRPr="000A55D3">
        <w:t>.</w:t>
      </w:r>
      <w:r>
        <w:t>8</w:t>
      </w:r>
      <w:r w:rsidRPr="000A55D3">
        <w:t>% in 20</w:t>
      </w:r>
      <w:r>
        <w:t>20</w:t>
      </w:r>
      <w:r w:rsidRPr="000A55D3">
        <w:t xml:space="preserve">, primarily as a result of natural increase. By contrast, </w:t>
      </w:r>
      <w:r w:rsidRPr="00E640C9">
        <w:rPr>
          <w:b/>
          <w:bCs/>
        </w:rPr>
        <w:t>the non-Arab Christian population</w:t>
      </w:r>
      <w:r w:rsidRPr="000A55D3">
        <w:t xml:space="preserve"> grew by </w:t>
      </w:r>
      <w:r>
        <w:t>3.2</w:t>
      </w:r>
      <w:r w:rsidRPr="000A55D3">
        <w:t>%</w:t>
      </w:r>
      <w:r w:rsidR="0044356F">
        <w:t xml:space="preserve">, primarily as a result of international migration. </w:t>
      </w:r>
    </w:p>
    <w:p w14:paraId="7A7482BE" w14:textId="77777777" w:rsidR="008A0C4E" w:rsidRDefault="008A0C4E" w:rsidP="0044356F">
      <w:pPr>
        <w:pStyle w:val="text1"/>
        <w:spacing w:before="120"/>
      </w:pPr>
      <w:r w:rsidRPr="008A0C4E">
        <w:t>The origin of the growth is due in part to natural increase and in part to the migration balance. In the last two years we have witnessed that the share of the migration balance is larger than in previous years. (In 2019 and 2020, the share of the migration balance in the total increase was about 53%).</w:t>
      </w:r>
    </w:p>
    <w:p w14:paraId="4F882AF4" w14:textId="77777777" w:rsidR="002023DC" w:rsidRPr="00183A89" w:rsidRDefault="002023DC" w:rsidP="00DE2DE5">
      <w:pPr>
        <w:pStyle w:val="diagramheading"/>
        <w:spacing w:before="240" w:after="0"/>
      </w:pPr>
      <w:r w:rsidRPr="00391551">
        <w:t>Diagram 2</w:t>
      </w:r>
      <w:r w:rsidR="00AD0CD4" w:rsidRPr="00391551">
        <w:t xml:space="preserve"> -</w:t>
      </w:r>
      <w:r w:rsidRPr="00391551">
        <w:t xml:space="preserve"> Sources of Increase of the Christian Population Over the Past Decade</w:t>
      </w:r>
    </w:p>
    <w:p w14:paraId="35E4B8C5" w14:textId="5742175D" w:rsidR="002023DC" w:rsidRPr="004812FD" w:rsidRDefault="00391551" w:rsidP="004812FD">
      <w:pPr>
        <w:pStyle w:val="center"/>
      </w:pPr>
      <w:r>
        <w:drawing>
          <wp:inline distT="0" distB="0" distL="0" distR="0" wp14:anchorId="2F2CDF4A" wp14:editId="5F9BB388">
            <wp:extent cx="5178301" cy="3609975"/>
            <wp:effectExtent l="0" t="0" r="3810" b="0"/>
            <wp:docPr id="8" name="Picture 8" descr="Diagram 2 - Sources of Increase of the Christian Population Over the Past Decade" title="Diagram 2 - Sources of Increase of the Christian Population Over the Past Dec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1836" cy="3612439"/>
                    </a:xfrm>
                    <a:prstGeom prst="rect">
                      <a:avLst/>
                    </a:prstGeom>
                    <a:noFill/>
                  </pic:spPr>
                </pic:pic>
              </a:graphicData>
            </a:graphic>
          </wp:inline>
        </w:drawing>
      </w:r>
    </w:p>
    <w:p w14:paraId="22912726" w14:textId="1C225D4D" w:rsidR="00DD1382" w:rsidRDefault="00DD1382" w:rsidP="00573671">
      <w:pPr>
        <w:bidi w:val="0"/>
        <w:spacing w:before="240" w:after="120" w:line="360" w:lineRule="auto"/>
        <w:rPr>
          <w:rFonts w:ascii="Arial" w:hAnsi="Arial" w:cs="Arial"/>
          <w:b w:val="0"/>
          <w:bCs w:val="0"/>
          <w:szCs w:val="24"/>
        </w:rPr>
      </w:pPr>
      <w:r w:rsidRPr="000A55D3">
        <w:rPr>
          <w:rFonts w:ascii="Arial" w:hAnsi="Arial" w:cs="Arial"/>
          <w:b w:val="0"/>
          <w:bCs w:val="0"/>
          <w:szCs w:val="24"/>
        </w:rPr>
        <w:t>The age composition of the total Christian population is different from that of the Jewish and Moslem populations. The percentage of young people aged 0</w:t>
      </w:r>
      <w:r w:rsidR="00870A74">
        <w:rPr>
          <w:rFonts w:ascii="Arial" w:hAnsi="Arial" w:cs="Arial"/>
          <w:b w:val="0"/>
          <w:bCs w:val="0"/>
          <w:szCs w:val="24"/>
        </w:rPr>
        <w:t>–</w:t>
      </w:r>
      <w:r w:rsidRPr="000A55D3">
        <w:rPr>
          <w:rFonts w:ascii="Arial" w:hAnsi="Arial" w:cs="Arial"/>
          <w:b w:val="0"/>
          <w:bCs w:val="0"/>
          <w:szCs w:val="24"/>
        </w:rPr>
        <w:t xml:space="preserve">19 was </w:t>
      </w:r>
      <w:r w:rsidR="00870A74">
        <w:rPr>
          <w:rFonts w:ascii="Arial" w:hAnsi="Arial" w:cs="Arial"/>
          <w:b w:val="0"/>
          <w:bCs w:val="0"/>
          <w:szCs w:val="24"/>
        </w:rPr>
        <w:t>26.</w:t>
      </w:r>
      <w:r w:rsidR="00573671">
        <w:rPr>
          <w:rFonts w:ascii="Arial" w:hAnsi="Arial" w:cs="Arial"/>
          <w:b w:val="0"/>
          <w:bCs w:val="0"/>
          <w:szCs w:val="24"/>
        </w:rPr>
        <w:t>0</w:t>
      </w:r>
      <w:r w:rsidRPr="000A55D3">
        <w:rPr>
          <w:rFonts w:ascii="Arial" w:hAnsi="Arial" w:cs="Arial"/>
          <w:b w:val="0"/>
          <w:bCs w:val="0"/>
          <w:szCs w:val="24"/>
        </w:rPr>
        <w:t>%, lower than that of the Jewish population (</w:t>
      </w:r>
      <w:r w:rsidR="00870A74">
        <w:rPr>
          <w:rFonts w:ascii="Arial" w:hAnsi="Arial" w:cs="Arial"/>
          <w:b w:val="0"/>
          <w:bCs w:val="0"/>
          <w:szCs w:val="24"/>
        </w:rPr>
        <w:t>34.9</w:t>
      </w:r>
      <w:r w:rsidRPr="000A55D3">
        <w:rPr>
          <w:rFonts w:ascii="Arial" w:hAnsi="Arial" w:cs="Arial"/>
          <w:b w:val="0"/>
          <w:bCs w:val="0"/>
          <w:szCs w:val="24"/>
        </w:rPr>
        <w:t xml:space="preserve">%), and </w:t>
      </w:r>
      <w:r w:rsidR="00925F01">
        <w:rPr>
          <w:rFonts w:ascii="Arial" w:hAnsi="Arial" w:cs="Arial"/>
          <w:b w:val="0"/>
          <w:bCs w:val="0"/>
          <w:szCs w:val="24"/>
        </w:rPr>
        <w:t>still</w:t>
      </w:r>
      <w:r w:rsidRPr="000A55D3">
        <w:rPr>
          <w:rFonts w:ascii="Arial" w:hAnsi="Arial" w:cs="Arial"/>
          <w:b w:val="0"/>
          <w:bCs w:val="0"/>
          <w:szCs w:val="24"/>
        </w:rPr>
        <w:t xml:space="preserve"> lower than that of the Moslem population</w:t>
      </w:r>
      <w:r w:rsidR="006A435C">
        <w:rPr>
          <w:rFonts w:ascii="Arial" w:hAnsi="Arial" w:cs="Arial"/>
          <w:b w:val="0"/>
          <w:bCs w:val="0"/>
          <w:szCs w:val="24"/>
        </w:rPr>
        <w:t xml:space="preserve"> (4</w:t>
      </w:r>
      <w:r w:rsidR="00573671">
        <w:rPr>
          <w:rFonts w:ascii="Arial" w:hAnsi="Arial" w:cs="Arial"/>
          <w:b w:val="0"/>
          <w:bCs w:val="0"/>
          <w:szCs w:val="24"/>
        </w:rPr>
        <w:t>3</w:t>
      </w:r>
      <w:r w:rsidR="006A435C">
        <w:rPr>
          <w:rFonts w:ascii="Arial" w:hAnsi="Arial" w:cs="Arial"/>
          <w:b w:val="0"/>
          <w:bCs w:val="0"/>
          <w:szCs w:val="24"/>
        </w:rPr>
        <w:t>.</w:t>
      </w:r>
      <w:r w:rsidR="00573671">
        <w:rPr>
          <w:rFonts w:ascii="Arial" w:hAnsi="Arial" w:cs="Arial"/>
          <w:b w:val="0"/>
          <w:bCs w:val="0"/>
          <w:szCs w:val="24"/>
        </w:rPr>
        <w:t>8</w:t>
      </w:r>
      <w:r w:rsidR="006A435C">
        <w:rPr>
          <w:rFonts w:ascii="Arial" w:hAnsi="Arial" w:cs="Arial"/>
          <w:b w:val="0"/>
          <w:bCs w:val="0"/>
          <w:szCs w:val="24"/>
        </w:rPr>
        <w:t>%)</w:t>
      </w:r>
      <w:r w:rsidRPr="000A55D3">
        <w:rPr>
          <w:rFonts w:ascii="Arial" w:hAnsi="Arial" w:cs="Arial"/>
          <w:b w:val="0"/>
          <w:bCs w:val="0"/>
          <w:szCs w:val="24"/>
        </w:rPr>
        <w:t>.</w:t>
      </w:r>
    </w:p>
    <w:p w14:paraId="35979E85" w14:textId="028FAB8A" w:rsidR="00E738AC" w:rsidRDefault="00D92718" w:rsidP="007F6B88">
      <w:pPr>
        <w:bidi w:val="0"/>
        <w:spacing w:before="120" w:after="120" w:line="360" w:lineRule="auto"/>
        <w:rPr>
          <w:rFonts w:ascii="Arial" w:hAnsi="Arial" w:cs="Arial"/>
          <w:b w:val="0"/>
          <w:bCs w:val="0"/>
          <w:szCs w:val="24"/>
        </w:rPr>
      </w:pPr>
      <w:r>
        <w:rPr>
          <w:rFonts w:ascii="Arial" w:hAnsi="Arial" w:cs="Arial"/>
          <w:b w:val="0"/>
          <w:bCs w:val="0"/>
          <w:szCs w:val="24"/>
        </w:rPr>
        <w:t>P</w:t>
      </w:r>
      <w:r w:rsidR="006D2947">
        <w:rPr>
          <w:rFonts w:ascii="Arial" w:hAnsi="Arial" w:cs="Arial"/>
          <w:b w:val="0"/>
          <w:bCs w:val="0"/>
          <w:szCs w:val="24"/>
        </w:rPr>
        <w:t xml:space="preserve">ersons aged 65 and over </w:t>
      </w:r>
      <w:r>
        <w:rPr>
          <w:rFonts w:ascii="Arial" w:hAnsi="Arial" w:cs="Arial"/>
          <w:b w:val="0"/>
          <w:bCs w:val="0"/>
          <w:szCs w:val="24"/>
        </w:rPr>
        <w:t>made up 12.</w:t>
      </w:r>
      <w:r w:rsidR="00573671">
        <w:rPr>
          <w:rFonts w:ascii="Arial" w:hAnsi="Arial" w:cs="Arial"/>
          <w:b w:val="0"/>
          <w:bCs w:val="0"/>
          <w:szCs w:val="24"/>
        </w:rPr>
        <w:t>5</w:t>
      </w:r>
      <w:r>
        <w:rPr>
          <w:rFonts w:ascii="Arial" w:hAnsi="Arial" w:cs="Arial"/>
          <w:b w:val="0"/>
          <w:bCs w:val="0"/>
          <w:szCs w:val="24"/>
        </w:rPr>
        <w:t>% of the total Christian population, compared to 14.</w:t>
      </w:r>
      <w:r w:rsidR="00573671">
        <w:rPr>
          <w:rFonts w:ascii="Arial" w:hAnsi="Arial" w:cs="Arial"/>
          <w:b w:val="0"/>
          <w:bCs w:val="0"/>
          <w:szCs w:val="24"/>
        </w:rPr>
        <w:t>2</w:t>
      </w:r>
      <w:r>
        <w:rPr>
          <w:rFonts w:ascii="Arial" w:hAnsi="Arial" w:cs="Arial"/>
          <w:b w:val="0"/>
          <w:bCs w:val="0"/>
          <w:szCs w:val="24"/>
        </w:rPr>
        <w:t xml:space="preserve">% </w:t>
      </w:r>
      <w:r w:rsidR="00493F5C">
        <w:rPr>
          <w:rFonts w:ascii="Arial" w:hAnsi="Arial" w:cs="Arial"/>
          <w:b w:val="0"/>
          <w:bCs w:val="0"/>
          <w:szCs w:val="24"/>
        </w:rPr>
        <w:t xml:space="preserve">of </w:t>
      </w:r>
      <w:r>
        <w:rPr>
          <w:rFonts w:ascii="Arial" w:hAnsi="Arial" w:cs="Arial"/>
          <w:b w:val="0"/>
          <w:bCs w:val="0"/>
          <w:szCs w:val="24"/>
        </w:rPr>
        <w:t>the Jewish population and 4.</w:t>
      </w:r>
      <w:r w:rsidR="00573671">
        <w:rPr>
          <w:rFonts w:ascii="Arial" w:hAnsi="Arial" w:cs="Arial"/>
          <w:b w:val="0"/>
          <w:bCs w:val="0"/>
          <w:szCs w:val="24"/>
        </w:rPr>
        <w:t>5</w:t>
      </w:r>
      <w:r>
        <w:rPr>
          <w:rFonts w:ascii="Arial" w:hAnsi="Arial" w:cs="Arial"/>
          <w:b w:val="0"/>
          <w:bCs w:val="0"/>
          <w:szCs w:val="24"/>
        </w:rPr>
        <w:t xml:space="preserve">% </w:t>
      </w:r>
      <w:r w:rsidR="007F6B88">
        <w:rPr>
          <w:rFonts w:ascii="Arial" w:hAnsi="Arial" w:cs="Arial"/>
          <w:b w:val="0"/>
          <w:bCs w:val="0"/>
          <w:szCs w:val="24"/>
        </w:rPr>
        <w:t>among</w:t>
      </w:r>
      <w:r w:rsidR="00493F5C">
        <w:rPr>
          <w:rFonts w:ascii="Arial" w:hAnsi="Arial" w:cs="Arial"/>
          <w:b w:val="0"/>
          <w:bCs w:val="0"/>
          <w:szCs w:val="24"/>
        </w:rPr>
        <w:t xml:space="preserve"> </w:t>
      </w:r>
      <w:r>
        <w:rPr>
          <w:rFonts w:ascii="Arial" w:hAnsi="Arial" w:cs="Arial"/>
          <w:b w:val="0"/>
          <w:bCs w:val="0"/>
          <w:szCs w:val="24"/>
        </w:rPr>
        <w:t>the Moslem population.</w:t>
      </w:r>
    </w:p>
    <w:p w14:paraId="3BA93CA0" w14:textId="411C3D04" w:rsidR="00E738AC" w:rsidRDefault="00E738AC" w:rsidP="00573671">
      <w:pPr>
        <w:pStyle w:val="diagramheading"/>
        <w:spacing w:before="240" w:after="0"/>
      </w:pPr>
      <w:r w:rsidRPr="006F20EC">
        <w:t>Diagram 3</w:t>
      </w:r>
      <w:r w:rsidR="00AD0CD4" w:rsidRPr="006F20EC">
        <w:t xml:space="preserve"> -</w:t>
      </w:r>
      <w:r w:rsidRPr="006F20EC">
        <w:t xml:space="preserve"> Age Structure of Christians, Jews, and Moslems, End of 20</w:t>
      </w:r>
      <w:r w:rsidR="00573671" w:rsidRPr="006F20EC">
        <w:t>20</w:t>
      </w:r>
    </w:p>
    <w:p w14:paraId="668792B3" w14:textId="1C60799B" w:rsidR="00E738AC" w:rsidRPr="00B91600" w:rsidRDefault="007576DA" w:rsidP="00B91600">
      <w:pPr>
        <w:pStyle w:val="center"/>
      </w:pPr>
      <w:r>
        <w:drawing>
          <wp:inline distT="0" distB="0" distL="0" distR="0" wp14:anchorId="36CA2A5F" wp14:editId="5A6A5CD0">
            <wp:extent cx="6705600" cy="1958857"/>
            <wp:effectExtent l="0" t="0" r="0" b="3810"/>
            <wp:docPr id="15" name="Picture 15" descr="Diagram 3 - Age Structure of Christians, Jews, and Moslems, End of 2020" title="Diagram 3 - Age Structure of Christians, Jews, and Moslems, End of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8370" cy="1959666"/>
                    </a:xfrm>
                    <a:prstGeom prst="rect">
                      <a:avLst/>
                    </a:prstGeom>
                    <a:noFill/>
                  </pic:spPr>
                </pic:pic>
              </a:graphicData>
            </a:graphic>
          </wp:inline>
        </w:drawing>
      </w:r>
    </w:p>
    <w:p w14:paraId="7A13CF4A" w14:textId="77777777" w:rsidR="00A844A4" w:rsidRPr="008C337D" w:rsidRDefault="00A844A4" w:rsidP="00636749">
      <w:pPr>
        <w:pStyle w:val="Heading2"/>
      </w:pPr>
      <w:r w:rsidRPr="000A55D3">
        <w:t>Geographic Distribution</w:t>
      </w:r>
    </w:p>
    <w:p w14:paraId="65044A28" w14:textId="783BAE71" w:rsidR="00B76926" w:rsidRPr="000A55D3" w:rsidRDefault="00A844A4" w:rsidP="007F6B88">
      <w:pPr>
        <w:bidi w:val="0"/>
        <w:spacing w:after="120" w:line="360" w:lineRule="auto"/>
        <w:rPr>
          <w:rFonts w:ascii="Arial" w:hAnsi="Arial" w:cs="Arial"/>
          <w:b w:val="0"/>
          <w:bCs w:val="0"/>
          <w:szCs w:val="24"/>
        </w:rPr>
      </w:pPr>
      <w:r w:rsidRPr="000A55D3">
        <w:rPr>
          <w:rFonts w:ascii="Arial" w:hAnsi="Arial" w:cs="Arial"/>
          <w:b w:val="0"/>
          <w:bCs w:val="0"/>
          <w:szCs w:val="24"/>
        </w:rPr>
        <w:t xml:space="preserve">Most of the Arab Christians lived in the north: </w:t>
      </w:r>
      <w:r w:rsidR="00A72521">
        <w:rPr>
          <w:rFonts w:ascii="Arial" w:hAnsi="Arial" w:cs="Arial"/>
          <w:b w:val="0"/>
          <w:bCs w:val="0"/>
          <w:szCs w:val="24"/>
        </w:rPr>
        <w:t>70.</w:t>
      </w:r>
      <w:r w:rsidR="008A4C0C">
        <w:rPr>
          <w:rFonts w:ascii="Arial" w:hAnsi="Arial" w:cs="Arial"/>
          <w:b w:val="0"/>
          <w:bCs w:val="0"/>
          <w:szCs w:val="24"/>
        </w:rPr>
        <w:t>3</w:t>
      </w:r>
      <w:r w:rsidRPr="000A55D3">
        <w:rPr>
          <w:rFonts w:ascii="Arial" w:hAnsi="Arial" w:cs="Arial"/>
          <w:b w:val="0"/>
          <w:bCs w:val="0"/>
          <w:szCs w:val="24"/>
        </w:rPr>
        <w:t>% lived in the Northern District</w:t>
      </w:r>
      <w:r w:rsidR="007F6B88">
        <w:rPr>
          <w:rFonts w:ascii="Arial" w:hAnsi="Arial" w:cs="Arial"/>
          <w:b w:val="0"/>
          <w:bCs w:val="0"/>
          <w:szCs w:val="24"/>
        </w:rPr>
        <w:t xml:space="preserve"> and</w:t>
      </w:r>
      <w:r w:rsidRPr="000A55D3">
        <w:rPr>
          <w:rFonts w:ascii="Arial" w:hAnsi="Arial" w:cs="Arial"/>
          <w:b w:val="0"/>
          <w:bCs w:val="0"/>
          <w:szCs w:val="24"/>
        </w:rPr>
        <w:t xml:space="preserve"> </w:t>
      </w:r>
      <w:r w:rsidR="006D5EB5">
        <w:rPr>
          <w:rFonts w:ascii="Arial" w:hAnsi="Arial" w:cs="Arial"/>
          <w:b w:val="0"/>
          <w:bCs w:val="0"/>
          <w:szCs w:val="24"/>
        </w:rPr>
        <w:t>13.</w:t>
      </w:r>
      <w:r w:rsidR="008A4C0C">
        <w:rPr>
          <w:rFonts w:ascii="Arial" w:hAnsi="Arial" w:cs="Arial"/>
          <w:b w:val="0"/>
          <w:bCs w:val="0"/>
          <w:szCs w:val="24"/>
        </w:rPr>
        <w:t>5</w:t>
      </w:r>
      <w:r w:rsidRPr="000A55D3">
        <w:rPr>
          <w:rFonts w:ascii="Arial" w:hAnsi="Arial" w:cs="Arial"/>
          <w:b w:val="0"/>
          <w:bCs w:val="0"/>
          <w:szCs w:val="24"/>
        </w:rPr>
        <w:t>% in the Haifa District</w:t>
      </w:r>
      <w:r w:rsidR="007F6B88">
        <w:rPr>
          <w:rFonts w:ascii="Arial" w:hAnsi="Arial" w:cs="Arial"/>
          <w:b w:val="0"/>
          <w:bCs w:val="0"/>
          <w:szCs w:val="24"/>
        </w:rPr>
        <w:t>.</w:t>
      </w:r>
      <w:r w:rsidRPr="000A55D3">
        <w:rPr>
          <w:rFonts w:ascii="Arial" w:hAnsi="Arial" w:cs="Arial"/>
          <w:b w:val="0"/>
          <w:bCs w:val="0"/>
          <w:szCs w:val="24"/>
        </w:rPr>
        <w:t xml:space="preserve"> 9.</w:t>
      </w:r>
      <w:r w:rsidR="008A4C0C">
        <w:rPr>
          <w:rFonts w:ascii="Arial" w:hAnsi="Arial" w:cs="Arial"/>
          <w:b w:val="0"/>
          <w:bCs w:val="0"/>
          <w:szCs w:val="24"/>
        </w:rPr>
        <w:t>4</w:t>
      </w:r>
      <w:r w:rsidRPr="000A55D3">
        <w:rPr>
          <w:rFonts w:ascii="Arial" w:hAnsi="Arial" w:cs="Arial"/>
          <w:b w:val="0"/>
          <w:bCs w:val="0"/>
          <w:szCs w:val="24"/>
        </w:rPr>
        <w:t xml:space="preserve">% lived in the Jerusalem District. </w:t>
      </w:r>
      <w:r w:rsidR="00B76926" w:rsidRPr="000A55D3">
        <w:rPr>
          <w:rFonts w:ascii="Arial" w:hAnsi="Arial" w:cs="Arial"/>
          <w:b w:val="0"/>
          <w:bCs w:val="0"/>
          <w:szCs w:val="24"/>
        </w:rPr>
        <w:t xml:space="preserve">As </w:t>
      </w:r>
      <w:r w:rsidR="002F763A">
        <w:rPr>
          <w:rFonts w:ascii="Arial" w:hAnsi="Arial" w:cs="Arial"/>
          <w:b w:val="0"/>
          <w:bCs w:val="0"/>
          <w:szCs w:val="24"/>
        </w:rPr>
        <w:t>of</w:t>
      </w:r>
      <w:r w:rsidR="00B76926" w:rsidRPr="000A55D3">
        <w:rPr>
          <w:rFonts w:ascii="Arial" w:hAnsi="Arial" w:cs="Arial"/>
          <w:b w:val="0"/>
          <w:bCs w:val="0"/>
          <w:szCs w:val="24"/>
        </w:rPr>
        <w:t xml:space="preserve"> the end of 20</w:t>
      </w:r>
      <w:r w:rsidR="008A4C0C">
        <w:rPr>
          <w:rFonts w:ascii="Arial" w:hAnsi="Arial" w:cs="Arial"/>
          <w:b w:val="0"/>
          <w:bCs w:val="0"/>
          <w:szCs w:val="24"/>
        </w:rPr>
        <w:t>20</w:t>
      </w:r>
      <w:r w:rsidR="00B76926" w:rsidRPr="000A55D3">
        <w:rPr>
          <w:rFonts w:ascii="Arial" w:hAnsi="Arial" w:cs="Arial"/>
          <w:b w:val="0"/>
          <w:bCs w:val="0"/>
          <w:szCs w:val="24"/>
        </w:rPr>
        <w:t>, the localities with the largest Arab Christian population were Nazareth (</w:t>
      </w:r>
      <w:r w:rsidR="001258FD">
        <w:rPr>
          <w:rFonts w:ascii="Arial" w:hAnsi="Arial" w:cs="Arial"/>
          <w:b w:val="0"/>
          <w:bCs w:val="0"/>
          <w:szCs w:val="24"/>
        </w:rPr>
        <w:t>21,</w:t>
      </w:r>
      <w:r w:rsidR="008A4C0C">
        <w:rPr>
          <w:rFonts w:ascii="Arial" w:hAnsi="Arial" w:cs="Arial"/>
          <w:b w:val="0"/>
          <w:bCs w:val="0"/>
          <w:szCs w:val="24"/>
        </w:rPr>
        <w:t>4</w:t>
      </w:r>
      <w:r w:rsidR="001258FD">
        <w:rPr>
          <w:rFonts w:ascii="Arial" w:hAnsi="Arial" w:cs="Arial"/>
          <w:b w:val="0"/>
          <w:bCs w:val="0"/>
          <w:szCs w:val="24"/>
        </w:rPr>
        <w:t>00</w:t>
      </w:r>
      <w:r w:rsidR="00B76926" w:rsidRPr="000A55D3">
        <w:rPr>
          <w:rFonts w:ascii="Arial" w:hAnsi="Arial" w:cs="Arial"/>
          <w:b w:val="0"/>
          <w:bCs w:val="0"/>
          <w:szCs w:val="24"/>
        </w:rPr>
        <w:t>), Haifa (</w:t>
      </w:r>
      <w:r w:rsidR="001258FD">
        <w:rPr>
          <w:rFonts w:ascii="Arial" w:hAnsi="Arial" w:cs="Arial"/>
          <w:b w:val="0"/>
          <w:bCs w:val="0"/>
          <w:szCs w:val="24"/>
        </w:rPr>
        <w:t>16,</w:t>
      </w:r>
      <w:r w:rsidR="008A4C0C">
        <w:rPr>
          <w:rFonts w:ascii="Arial" w:hAnsi="Arial" w:cs="Arial"/>
          <w:b w:val="0"/>
          <w:bCs w:val="0"/>
          <w:szCs w:val="24"/>
        </w:rPr>
        <w:t>5</w:t>
      </w:r>
      <w:r w:rsidR="001258FD">
        <w:rPr>
          <w:rFonts w:ascii="Arial" w:hAnsi="Arial" w:cs="Arial"/>
          <w:b w:val="0"/>
          <w:bCs w:val="0"/>
          <w:szCs w:val="24"/>
        </w:rPr>
        <w:t>00</w:t>
      </w:r>
      <w:r w:rsidR="00B76926" w:rsidRPr="000A55D3">
        <w:rPr>
          <w:rFonts w:ascii="Arial" w:hAnsi="Arial" w:cs="Arial"/>
          <w:b w:val="0"/>
          <w:bCs w:val="0"/>
          <w:szCs w:val="24"/>
        </w:rPr>
        <w:t>), Jerusalem (</w:t>
      </w:r>
      <w:r w:rsidR="001258FD">
        <w:rPr>
          <w:rFonts w:ascii="Arial" w:hAnsi="Arial" w:cs="Arial"/>
          <w:b w:val="0"/>
          <w:bCs w:val="0"/>
          <w:szCs w:val="24"/>
        </w:rPr>
        <w:t>12,900</w:t>
      </w:r>
      <w:r w:rsidR="00B76926" w:rsidRPr="000A55D3">
        <w:rPr>
          <w:rFonts w:ascii="Arial" w:hAnsi="Arial" w:cs="Arial"/>
          <w:b w:val="0"/>
          <w:bCs w:val="0"/>
          <w:szCs w:val="24"/>
        </w:rPr>
        <w:t>), and Shefar</w:t>
      </w:r>
      <w:r w:rsidR="001258FD">
        <w:rPr>
          <w:rFonts w:ascii="Arial" w:hAnsi="Arial" w:cs="Arial"/>
          <w:b w:val="0"/>
          <w:bCs w:val="0"/>
          <w:szCs w:val="24"/>
        </w:rPr>
        <w:t>’</w:t>
      </w:r>
      <w:r w:rsidR="00B76926" w:rsidRPr="000A55D3">
        <w:rPr>
          <w:rFonts w:ascii="Arial" w:hAnsi="Arial" w:cs="Arial"/>
          <w:b w:val="0"/>
          <w:bCs w:val="0"/>
          <w:szCs w:val="24"/>
        </w:rPr>
        <w:t>am</w:t>
      </w:r>
      <w:r w:rsidR="00703A14" w:rsidRPr="000A55D3">
        <w:rPr>
          <w:rFonts w:ascii="Arial" w:hAnsi="Arial" w:cs="Arial"/>
          <w:b w:val="0"/>
          <w:bCs w:val="0"/>
          <w:szCs w:val="24"/>
        </w:rPr>
        <w:t xml:space="preserve"> (</w:t>
      </w:r>
      <w:r w:rsidR="001258FD">
        <w:rPr>
          <w:rFonts w:ascii="Arial" w:hAnsi="Arial" w:cs="Arial"/>
          <w:b w:val="0"/>
          <w:bCs w:val="0"/>
          <w:szCs w:val="24"/>
        </w:rPr>
        <w:t>10,400</w:t>
      </w:r>
      <w:r w:rsidR="00703A14" w:rsidRPr="000A55D3">
        <w:rPr>
          <w:rFonts w:ascii="Arial" w:hAnsi="Arial" w:cs="Arial"/>
          <w:b w:val="0"/>
          <w:bCs w:val="0"/>
          <w:szCs w:val="24"/>
        </w:rPr>
        <w:t>).</w:t>
      </w:r>
    </w:p>
    <w:p w14:paraId="709DDF88" w14:textId="36202789" w:rsidR="00A844A4" w:rsidRPr="000A55D3" w:rsidRDefault="00D1372E" w:rsidP="008A4C0C">
      <w:pPr>
        <w:bidi w:val="0"/>
        <w:spacing w:after="120" w:line="360" w:lineRule="auto"/>
        <w:rPr>
          <w:rFonts w:ascii="Arial" w:hAnsi="Arial" w:cs="Arial"/>
          <w:b w:val="0"/>
          <w:bCs w:val="0"/>
          <w:szCs w:val="24"/>
        </w:rPr>
      </w:pPr>
      <w:r w:rsidRPr="000A55D3">
        <w:rPr>
          <w:rFonts w:ascii="Arial" w:hAnsi="Arial" w:cs="Arial"/>
          <w:b w:val="0"/>
          <w:bCs w:val="0"/>
          <w:szCs w:val="24"/>
        </w:rPr>
        <w:t>The geographic distribution of n</w:t>
      </w:r>
      <w:r w:rsidR="00A844A4" w:rsidRPr="000A55D3">
        <w:rPr>
          <w:rFonts w:ascii="Arial" w:hAnsi="Arial" w:cs="Arial"/>
          <w:b w:val="0"/>
          <w:bCs w:val="0"/>
          <w:szCs w:val="24"/>
        </w:rPr>
        <w:t xml:space="preserve">on-Arab Christians </w:t>
      </w:r>
      <w:r w:rsidRPr="000A55D3">
        <w:rPr>
          <w:rFonts w:ascii="Arial" w:hAnsi="Arial" w:cs="Arial"/>
          <w:b w:val="0"/>
          <w:bCs w:val="0"/>
          <w:szCs w:val="24"/>
        </w:rPr>
        <w:t>wa</w:t>
      </w:r>
      <w:r w:rsidR="00A844A4" w:rsidRPr="000A55D3">
        <w:rPr>
          <w:rFonts w:ascii="Arial" w:hAnsi="Arial" w:cs="Arial"/>
          <w:b w:val="0"/>
          <w:bCs w:val="0"/>
          <w:szCs w:val="24"/>
        </w:rPr>
        <w:t>s</w:t>
      </w:r>
      <w:r w:rsidRPr="000A55D3">
        <w:rPr>
          <w:rFonts w:ascii="Arial" w:hAnsi="Arial" w:cs="Arial"/>
          <w:b w:val="0"/>
          <w:bCs w:val="0"/>
          <w:szCs w:val="24"/>
        </w:rPr>
        <w:t xml:space="preserve"> different than that of Arab Christians</w:t>
      </w:r>
      <w:r w:rsidR="00A844A4" w:rsidRPr="000A55D3">
        <w:rPr>
          <w:rFonts w:ascii="Arial" w:hAnsi="Arial" w:cs="Arial"/>
          <w:b w:val="0"/>
          <w:bCs w:val="0"/>
          <w:szCs w:val="24"/>
        </w:rPr>
        <w:t>: 4</w:t>
      </w:r>
      <w:r w:rsidR="008A4C0C">
        <w:rPr>
          <w:rFonts w:ascii="Arial" w:hAnsi="Arial" w:cs="Arial"/>
          <w:b w:val="0"/>
          <w:bCs w:val="0"/>
          <w:szCs w:val="24"/>
        </w:rPr>
        <w:t>0</w:t>
      </w:r>
      <w:r w:rsidR="00A844A4" w:rsidRPr="000A55D3">
        <w:rPr>
          <w:rFonts w:ascii="Arial" w:hAnsi="Arial" w:cs="Arial"/>
          <w:b w:val="0"/>
          <w:bCs w:val="0"/>
          <w:szCs w:val="24"/>
        </w:rPr>
        <w:t>.</w:t>
      </w:r>
      <w:r w:rsidR="008A4C0C">
        <w:rPr>
          <w:rFonts w:ascii="Arial" w:hAnsi="Arial" w:cs="Arial"/>
          <w:b w:val="0"/>
          <w:bCs w:val="0"/>
          <w:szCs w:val="24"/>
        </w:rPr>
        <w:t>7</w:t>
      </w:r>
      <w:r w:rsidR="00A844A4" w:rsidRPr="000A55D3">
        <w:rPr>
          <w:rFonts w:ascii="Arial" w:hAnsi="Arial" w:cs="Arial"/>
          <w:b w:val="0"/>
          <w:bCs w:val="0"/>
          <w:szCs w:val="24"/>
        </w:rPr>
        <w:t>% lived in the Tel Aviv and Central District</w:t>
      </w:r>
      <w:r w:rsidRPr="000A55D3">
        <w:rPr>
          <w:rFonts w:ascii="Arial" w:hAnsi="Arial" w:cs="Arial"/>
          <w:b w:val="0"/>
          <w:bCs w:val="0"/>
          <w:szCs w:val="24"/>
        </w:rPr>
        <w:t>s</w:t>
      </w:r>
      <w:r w:rsidR="00A844A4" w:rsidRPr="000A55D3">
        <w:rPr>
          <w:rFonts w:ascii="Arial" w:hAnsi="Arial" w:cs="Arial"/>
          <w:b w:val="0"/>
          <w:bCs w:val="0"/>
          <w:szCs w:val="24"/>
        </w:rPr>
        <w:t xml:space="preserve">, </w:t>
      </w:r>
      <w:r w:rsidR="00703A14" w:rsidRPr="000A55D3">
        <w:rPr>
          <w:rFonts w:ascii="Arial" w:hAnsi="Arial" w:cs="Arial"/>
          <w:b w:val="0"/>
          <w:bCs w:val="0"/>
          <w:szCs w:val="24"/>
        </w:rPr>
        <w:t xml:space="preserve">and </w:t>
      </w:r>
      <w:r w:rsidR="00935893">
        <w:rPr>
          <w:rFonts w:ascii="Arial" w:hAnsi="Arial" w:cs="Arial"/>
          <w:b w:val="0"/>
          <w:bCs w:val="0"/>
          <w:szCs w:val="24"/>
        </w:rPr>
        <w:t>3</w:t>
      </w:r>
      <w:r w:rsidR="008A4C0C">
        <w:rPr>
          <w:rFonts w:ascii="Arial" w:hAnsi="Arial" w:cs="Arial"/>
          <w:b w:val="0"/>
          <w:bCs w:val="0"/>
          <w:szCs w:val="24"/>
        </w:rPr>
        <w:t>4</w:t>
      </w:r>
      <w:r w:rsidR="00935893">
        <w:rPr>
          <w:rFonts w:ascii="Arial" w:hAnsi="Arial" w:cs="Arial"/>
          <w:b w:val="0"/>
          <w:bCs w:val="0"/>
          <w:szCs w:val="24"/>
        </w:rPr>
        <w:t>.</w:t>
      </w:r>
      <w:r w:rsidR="008A4C0C">
        <w:rPr>
          <w:rFonts w:ascii="Arial" w:hAnsi="Arial" w:cs="Arial"/>
          <w:b w:val="0"/>
          <w:bCs w:val="0"/>
          <w:szCs w:val="24"/>
        </w:rPr>
        <w:t>1</w:t>
      </w:r>
      <w:r w:rsidR="00A844A4" w:rsidRPr="000A55D3">
        <w:rPr>
          <w:rFonts w:ascii="Arial" w:hAnsi="Arial" w:cs="Arial"/>
          <w:b w:val="0"/>
          <w:bCs w:val="0"/>
          <w:szCs w:val="24"/>
        </w:rPr>
        <w:t>%</w:t>
      </w:r>
      <w:r w:rsidR="00703A14" w:rsidRPr="000A55D3">
        <w:rPr>
          <w:rFonts w:ascii="Arial" w:hAnsi="Arial" w:cs="Arial"/>
          <w:b w:val="0"/>
          <w:bCs w:val="0"/>
          <w:szCs w:val="24"/>
        </w:rPr>
        <w:t xml:space="preserve"> lived </w:t>
      </w:r>
      <w:r w:rsidR="00A844A4" w:rsidRPr="000A55D3">
        <w:rPr>
          <w:rFonts w:ascii="Arial" w:hAnsi="Arial" w:cs="Arial"/>
          <w:b w:val="0"/>
          <w:bCs w:val="0"/>
          <w:szCs w:val="24"/>
        </w:rPr>
        <w:t xml:space="preserve">in the Northern </w:t>
      </w:r>
      <w:r w:rsidRPr="000A55D3">
        <w:rPr>
          <w:rFonts w:ascii="Arial" w:hAnsi="Arial" w:cs="Arial"/>
          <w:b w:val="0"/>
          <w:bCs w:val="0"/>
          <w:szCs w:val="24"/>
        </w:rPr>
        <w:t xml:space="preserve">and </w:t>
      </w:r>
      <w:r w:rsidR="00A844A4" w:rsidRPr="000A55D3">
        <w:rPr>
          <w:rFonts w:ascii="Arial" w:hAnsi="Arial" w:cs="Arial"/>
          <w:b w:val="0"/>
          <w:bCs w:val="0"/>
          <w:szCs w:val="24"/>
        </w:rPr>
        <w:t>Haifa District</w:t>
      </w:r>
      <w:r w:rsidRPr="000A55D3">
        <w:rPr>
          <w:rFonts w:ascii="Arial" w:hAnsi="Arial" w:cs="Arial"/>
          <w:b w:val="0"/>
          <w:bCs w:val="0"/>
          <w:szCs w:val="24"/>
        </w:rPr>
        <w:t>s</w:t>
      </w:r>
      <w:r w:rsidR="00703A14" w:rsidRPr="000A55D3">
        <w:rPr>
          <w:rFonts w:ascii="Arial" w:hAnsi="Arial" w:cs="Arial"/>
          <w:b w:val="0"/>
          <w:bCs w:val="0"/>
          <w:szCs w:val="24"/>
        </w:rPr>
        <w:t>.</w:t>
      </w:r>
    </w:p>
    <w:p w14:paraId="73956009" w14:textId="4A70D734" w:rsidR="002F3391" w:rsidRDefault="007F6B88" w:rsidP="008A4C0C">
      <w:pPr>
        <w:bidi w:val="0"/>
        <w:spacing w:after="120" w:line="360" w:lineRule="auto"/>
        <w:rPr>
          <w:rFonts w:ascii="Arial" w:hAnsi="Arial" w:cs="Arial"/>
          <w:b w:val="0"/>
          <w:bCs w:val="0"/>
          <w:szCs w:val="24"/>
        </w:rPr>
      </w:pPr>
      <w:r>
        <w:rPr>
          <w:rFonts w:ascii="Arial" w:hAnsi="Arial" w:cs="Arial"/>
          <w:b w:val="0"/>
          <w:bCs w:val="0"/>
          <w:szCs w:val="24"/>
        </w:rPr>
        <w:t>Large</w:t>
      </w:r>
      <w:r w:rsidR="00A844A4" w:rsidRPr="000A55D3">
        <w:rPr>
          <w:rFonts w:ascii="Arial" w:hAnsi="Arial" w:cs="Arial"/>
          <w:b w:val="0"/>
          <w:bCs w:val="0"/>
          <w:szCs w:val="24"/>
        </w:rPr>
        <w:t xml:space="preserve"> communities of non-Arab Christians were concentrated in the three large cities</w:t>
      </w:r>
      <w:r w:rsidR="004A3B72">
        <w:rPr>
          <w:rFonts w:ascii="Arial" w:hAnsi="Arial" w:cs="Arial"/>
          <w:b w:val="0"/>
          <w:bCs w:val="0"/>
          <w:szCs w:val="24"/>
        </w:rPr>
        <w:t>:</w:t>
      </w:r>
      <w:r w:rsidR="00A844A4" w:rsidRPr="000A55D3">
        <w:rPr>
          <w:rFonts w:ascii="Arial" w:hAnsi="Arial" w:cs="Arial"/>
          <w:b w:val="0"/>
          <w:bCs w:val="0"/>
          <w:szCs w:val="24"/>
        </w:rPr>
        <w:t xml:space="preserve"> </w:t>
      </w:r>
      <w:r w:rsidR="008A4C0C" w:rsidRPr="000A55D3">
        <w:rPr>
          <w:rFonts w:ascii="Arial" w:hAnsi="Arial" w:cs="Arial"/>
          <w:b w:val="0"/>
          <w:bCs w:val="0"/>
          <w:szCs w:val="24"/>
        </w:rPr>
        <w:t xml:space="preserve">Haifa </w:t>
      </w:r>
      <w:r w:rsidR="00373F3F" w:rsidRPr="000A55D3">
        <w:rPr>
          <w:rFonts w:ascii="Arial" w:hAnsi="Arial" w:cs="Arial"/>
          <w:b w:val="0"/>
          <w:bCs w:val="0"/>
          <w:szCs w:val="24"/>
        </w:rPr>
        <w:t>(</w:t>
      </w:r>
      <w:r w:rsidR="00287B21" w:rsidRPr="000A55D3">
        <w:rPr>
          <w:rFonts w:ascii="Arial" w:hAnsi="Arial" w:cs="Arial"/>
          <w:b w:val="0"/>
          <w:bCs w:val="0"/>
          <w:szCs w:val="24"/>
        </w:rPr>
        <w:t>4</w:t>
      </w:r>
      <w:r w:rsidR="00373F3F" w:rsidRPr="000A55D3">
        <w:rPr>
          <w:rFonts w:ascii="Arial" w:hAnsi="Arial" w:cs="Arial"/>
          <w:b w:val="0"/>
          <w:bCs w:val="0"/>
          <w:szCs w:val="24"/>
        </w:rPr>
        <w:t>,</w:t>
      </w:r>
      <w:r w:rsidR="00287B21" w:rsidRPr="000A55D3">
        <w:rPr>
          <w:rFonts w:ascii="Arial" w:hAnsi="Arial" w:cs="Arial"/>
          <w:b w:val="0"/>
          <w:bCs w:val="0"/>
          <w:szCs w:val="24"/>
        </w:rPr>
        <w:t>0</w:t>
      </w:r>
      <w:r w:rsidR="00373F3F" w:rsidRPr="000A55D3">
        <w:rPr>
          <w:rFonts w:ascii="Arial" w:hAnsi="Arial" w:cs="Arial"/>
          <w:b w:val="0"/>
          <w:bCs w:val="0"/>
          <w:szCs w:val="24"/>
        </w:rPr>
        <w:t xml:space="preserve">00), </w:t>
      </w:r>
      <w:r w:rsidR="008A4C0C" w:rsidRPr="000A55D3">
        <w:rPr>
          <w:rFonts w:ascii="Arial" w:hAnsi="Arial" w:cs="Arial"/>
          <w:b w:val="0"/>
          <w:bCs w:val="0"/>
          <w:szCs w:val="24"/>
        </w:rPr>
        <w:t>Tel Aviv</w:t>
      </w:r>
      <w:r w:rsidR="000414CE">
        <w:rPr>
          <w:rFonts w:ascii="Arial" w:hAnsi="Arial" w:cs="Arial"/>
          <w:b w:val="0"/>
          <w:bCs w:val="0"/>
          <w:szCs w:val="24"/>
        </w:rPr>
        <w:t>-Yafo</w:t>
      </w:r>
      <w:r w:rsidR="008A4C0C" w:rsidRPr="000A55D3">
        <w:rPr>
          <w:rFonts w:ascii="Arial" w:hAnsi="Arial" w:cs="Arial"/>
          <w:b w:val="0"/>
          <w:bCs w:val="0"/>
          <w:szCs w:val="24"/>
        </w:rPr>
        <w:t xml:space="preserve"> </w:t>
      </w:r>
      <w:r w:rsidR="00A844A4" w:rsidRPr="000A55D3">
        <w:rPr>
          <w:rFonts w:ascii="Arial" w:hAnsi="Arial" w:cs="Arial"/>
          <w:b w:val="0"/>
          <w:bCs w:val="0"/>
          <w:szCs w:val="24"/>
        </w:rPr>
        <w:t>(3,</w:t>
      </w:r>
      <w:r w:rsidR="00287B21" w:rsidRPr="000A55D3">
        <w:rPr>
          <w:rFonts w:ascii="Arial" w:hAnsi="Arial" w:cs="Arial"/>
          <w:b w:val="0"/>
          <w:bCs w:val="0"/>
          <w:szCs w:val="24"/>
        </w:rPr>
        <w:t>9</w:t>
      </w:r>
      <w:r w:rsidR="00A844A4" w:rsidRPr="000A55D3">
        <w:rPr>
          <w:rFonts w:ascii="Arial" w:hAnsi="Arial" w:cs="Arial"/>
          <w:b w:val="0"/>
          <w:bCs w:val="0"/>
          <w:szCs w:val="24"/>
        </w:rPr>
        <w:t>00), and Jerusalem (3,</w:t>
      </w:r>
      <w:r w:rsidR="008A4C0C">
        <w:rPr>
          <w:rFonts w:ascii="Arial" w:hAnsi="Arial" w:cs="Arial"/>
          <w:b w:val="0"/>
          <w:bCs w:val="0"/>
          <w:szCs w:val="24"/>
        </w:rPr>
        <w:t>4</w:t>
      </w:r>
      <w:r w:rsidR="00A844A4" w:rsidRPr="000A55D3">
        <w:rPr>
          <w:rFonts w:ascii="Arial" w:hAnsi="Arial" w:cs="Arial"/>
          <w:b w:val="0"/>
          <w:bCs w:val="0"/>
          <w:szCs w:val="24"/>
        </w:rPr>
        <w:t>00).</w:t>
      </w:r>
    </w:p>
    <w:p w14:paraId="65FCC32D" w14:textId="77777777" w:rsidR="002F3391" w:rsidRDefault="002F3391">
      <w:pPr>
        <w:bidi w:val="0"/>
        <w:rPr>
          <w:rFonts w:ascii="Arial" w:hAnsi="Arial" w:cs="Arial"/>
          <w:b w:val="0"/>
          <w:bCs w:val="0"/>
          <w:szCs w:val="24"/>
        </w:rPr>
      </w:pPr>
      <w:r>
        <w:rPr>
          <w:rFonts w:ascii="Arial" w:hAnsi="Arial" w:cs="Arial"/>
          <w:b w:val="0"/>
          <w:bCs w:val="0"/>
          <w:szCs w:val="24"/>
        </w:rPr>
        <w:br w:type="page"/>
      </w:r>
    </w:p>
    <w:p w14:paraId="44922E62" w14:textId="022755C6" w:rsidR="004A3B72" w:rsidRDefault="004A3B72" w:rsidP="000414CE">
      <w:pPr>
        <w:pStyle w:val="diagramheading"/>
        <w:keepNext/>
        <w:spacing w:before="120" w:after="0"/>
      </w:pPr>
      <w:r w:rsidRPr="008C1A8C">
        <w:t>Diagram 4</w:t>
      </w:r>
      <w:r w:rsidR="00AD0CD4" w:rsidRPr="008C1A8C">
        <w:t xml:space="preserve"> -</w:t>
      </w:r>
      <w:r w:rsidRPr="008C1A8C">
        <w:t xml:space="preserve"> Population Distribution of Christians by District, End of 20</w:t>
      </w:r>
      <w:r w:rsidR="000414CE" w:rsidRPr="008C1A8C">
        <w:t>20</w:t>
      </w:r>
    </w:p>
    <w:p w14:paraId="370A3BD8" w14:textId="4498818B" w:rsidR="004A3B72" w:rsidRDefault="002007CE" w:rsidP="006177F2">
      <w:pPr>
        <w:pStyle w:val="center"/>
        <w:spacing w:after="0"/>
      </w:pPr>
      <w:r>
        <w:drawing>
          <wp:inline distT="0" distB="0" distL="0" distR="0" wp14:anchorId="057356B6" wp14:editId="06477E00">
            <wp:extent cx="6570345" cy="3075353"/>
            <wp:effectExtent l="0" t="0" r="1905" b="0"/>
            <wp:docPr id="16" name="Picture 16" descr="Diagram 4 - Population Distribution of Christians by District, End of 2020" title="Diagram 4 - Population Distribution of Christians by District, End of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1217" cy="3075761"/>
                    </a:xfrm>
                    <a:prstGeom prst="rect">
                      <a:avLst/>
                    </a:prstGeom>
                    <a:noFill/>
                  </pic:spPr>
                </pic:pic>
              </a:graphicData>
            </a:graphic>
          </wp:inline>
        </w:drawing>
      </w:r>
    </w:p>
    <w:p w14:paraId="1EA6A9EF" w14:textId="553A77C2" w:rsidR="00276A79" w:rsidRPr="00DC4E3C" w:rsidRDefault="00276A79" w:rsidP="00436655">
      <w:pPr>
        <w:pStyle w:val="text1"/>
        <w:spacing w:after="0" w:line="240" w:lineRule="auto"/>
        <w:ind w:left="1134"/>
      </w:pPr>
      <w:r>
        <w:t>* Israeli localities only.</w:t>
      </w:r>
    </w:p>
    <w:p w14:paraId="58EE2599" w14:textId="77777777" w:rsidR="008A0C4E" w:rsidRPr="007F1337" w:rsidRDefault="008A0C4E" w:rsidP="007F6B88">
      <w:pPr>
        <w:bidi w:val="0"/>
        <w:spacing w:before="480" w:line="360" w:lineRule="auto"/>
        <w:jc w:val="center"/>
        <w:rPr>
          <w:rFonts w:ascii="Arial" w:hAnsi="Arial" w:cs="Arial"/>
          <w:spacing w:val="-4"/>
          <w:szCs w:val="24"/>
        </w:rPr>
      </w:pPr>
      <w:r w:rsidRPr="008A0C4E">
        <w:rPr>
          <w:rFonts w:ascii="Arial" w:hAnsi="Arial" w:cs="Arial"/>
          <w:spacing w:val="-4"/>
          <w:szCs w:val="24"/>
        </w:rPr>
        <w:t>Table B – The Ten Localities With the Largest Christian Population Concentration, 2020</w:t>
      </w:r>
    </w:p>
    <w:tbl>
      <w:tblPr>
        <w:tblW w:w="4673" w:type="dxa"/>
        <w:jc w:val="center"/>
        <w:tblLook w:val="04A0" w:firstRow="1" w:lastRow="0" w:firstColumn="1" w:lastColumn="0" w:noHBand="0" w:noVBand="1"/>
        <w:tblCaption w:val="Table B – The Ten Localities With the Largest Christian Population Concentration, 2020"/>
        <w:tblDescription w:val="Table B – The Ten Localities With the Largest Christian Population Concentration, 2020"/>
      </w:tblPr>
      <w:tblGrid>
        <w:gridCol w:w="2242"/>
        <w:gridCol w:w="2431"/>
      </w:tblGrid>
      <w:tr w:rsidR="000414CE" w:rsidRPr="004313EF" w14:paraId="6FAA5A5A" w14:textId="77777777" w:rsidTr="009A3CC7">
        <w:trPr>
          <w:trHeight w:val="1058"/>
          <w:jc w:val="center"/>
        </w:trPr>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32162594" w14:textId="3FD264C8" w:rsidR="000414CE" w:rsidRPr="004313EF" w:rsidRDefault="000414CE" w:rsidP="00865A59">
            <w:pPr>
              <w:bidi w:val="0"/>
              <w:jc w:val="center"/>
              <w:rPr>
                <w:rFonts w:asciiTheme="minorBidi" w:hAnsiTheme="minorBidi" w:cstheme="minorBidi"/>
                <w:b w:val="0"/>
                <w:bCs w:val="0"/>
                <w:color w:val="000000"/>
                <w:szCs w:val="24"/>
                <w:rtl/>
                <w:lang w:eastAsia="en-US"/>
              </w:rPr>
            </w:pPr>
            <w:r>
              <w:rPr>
                <w:rFonts w:asciiTheme="minorBidi" w:hAnsiTheme="minorBidi" w:cstheme="minorBidi"/>
                <w:color w:val="000000"/>
                <w:szCs w:val="24"/>
                <w:lang w:eastAsia="en-US"/>
              </w:rPr>
              <w:t>Locality</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C6BA5" w14:textId="08FFF238" w:rsidR="000414CE" w:rsidRPr="000414CE" w:rsidRDefault="000414CE" w:rsidP="009A3CC7">
            <w:pPr>
              <w:bidi w:val="0"/>
              <w:jc w:val="center"/>
              <w:rPr>
                <w:rFonts w:asciiTheme="minorBidi" w:hAnsiTheme="minorBidi" w:cstheme="minorBidi"/>
                <w:b w:val="0"/>
                <w:bCs w:val="0"/>
                <w:color w:val="000000"/>
                <w:szCs w:val="24"/>
                <w:rtl/>
                <w:lang w:eastAsia="en-US"/>
              </w:rPr>
            </w:pPr>
            <w:r>
              <w:rPr>
                <w:rFonts w:asciiTheme="minorBidi" w:hAnsiTheme="minorBidi" w:cstheme="minorBidi"/>
              </w:rPr>
              <w:t>T</w:t>
            </w:r>
            <w:r w:rsidRPr="000414CE">
              <w:rPr>
                <w:rFonts w:asciiTheme="minorBidi" w:hAnsiTheme="minorBidi" w:cstheme="minorBidi"/>
              </w:rPr>
              <w:t xml:space="preserve">he Christian </w:t>
            </w:r>
            <w:r w:rsidR="009A3CC7">
              <w:rPr>
                <w:rFonts w:asciiTheme="minorBidi" w:hAnsiTheme="minorBidi" w:cstheme="minorBidi"/>
              </w:rPr>
              <w:t>p</w:t>
            </w:r>
            <w:r w:rsidRPr="000414CE">
              <w:rPr>
                <w:rFonts w:asciiTheme="minorBidi" w:hAnsiTheme="minorBidi" w:cstheme="minorBidi"/>
              </w:rPr>
              <w:t>opulation</w:t>
            </w:r>
            <w:r>
              <w:rPr>
                <w:rFonts w:asciiTheme="minorBidi" w:hAnsiTheme="minorBidi" w:cstheme="minorBidi"/>
              </w:rPr>
              <w:t xml:space="preserve"> (thousands)</w:t>
            </w:r>
          </w:p>
        </w:tc>
      </w:tr>
      <w:tr w:rsidR="000414CE" w:rsidRPr="004313EF" w14:paraId="75D7977A" w14:textId="77777777" w:rsidTr="009A3CC7">
        <w:trPr>
          <w:trHeight w:val="300"/>
          <w:jc w:val="center"/>
        </w:trPr>
        <w:tc>
          <w:tcPr>
            <w:tcW w:w="2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91E7C" w14:textId="45768C6E" w:rsidR="000414CE" w:rsidRPr="000414CE" w:rsidRDefault="000414CE" w:rsidP="009A3CC7">
            <w:pPr>
              <w:bidi w:val="0"/>
              <w:spacing w:before="60" w:after="60"/>
              <w:rPr>
                <w:rFonts w:asciiTheme="minorBidi" w:hAnsiTheme="minorBidi" w:cstheme="minorBidi"/>
                <w:b w:val="0"/>
                <w:bCs w:val="0"/>
                <w:color w:val="000000"/>
                <w:szCs w:val="24"/>
                <w:lang w:eastAsia="en-US"/>
              </w:rPr>
            </w:pPr>
            <w:r w:rsidRPr="000A55D3">
              <w:rPr>
                <w:rFonts w:ascii="Arial" w:hAnsi="Arial" w:cs="Arial"/>
                <w:b w:val="0"/>
                <w:bCs w:val="0"/>
                <w:szCs w:val="24"/>
              </w:rPr>
              <w:t>Nazareth</w:t>
            </w: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37B8C"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21.4</w:t>
            </w:r>
          </w:p>
        </w:tc>
      </w:tr>
      <w:tr w:rsidR="000414CE" w:rsidRPr="004313EF" w14:paraId="47CBA576" w14:textId="77777777" w:rsidTr="009A3CC7">
        <w:trPr>
          <w:trHeight w:val="300"/>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6ADB19A1" w14:textId="15CA8757" w:rsidR="000414CE" w:rsidRPr="000414CE" w:rsidRDefault="000414CE" w:rsidP="009A3CC7">
            <w:pPr>
              <w:bidi w:val="0"/>
              <w:spacing w:before="60" w:after="60"/>
              <w:rPr>
                <w:rFonts w:asciiTheme="minorBidi" w:hAnsiTheme="minorBidi" w:cstheme="minorBidi"/>
                <w:b w:val="0"/>
                <w:bCs w:val="0"/>
                <w:color w:val="000000"/>
                <w:szCs w:val="24"/>
                <w:lang w:eastAsia="en-US"/>
              </w:rPr>
            </w:pPr>
            <w:r>
              <w:rPr>
                <w:rFonts w:asciiTheme="minorBidi" w:hAnsiTheme="minorBidi" w:cstheme="minorBidi"/>
                <w:b w:val="0"/>
                <w:bCs w:val="0"/>
                <w:color w:val="000000"/>
                <w:szCs w:val="24"/>
                <w:lang w:eastAsia="en-US"/>
              </w:rPr>
              <w:t>Haifa</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72732E7F"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20.5</w:t>
            </w:r>
          </w:p>
        </w:tc>
      </w:tr>
      <w:tr w:rsidR="000414CE" w:rsidRPr="004313EF" w14:paraId="06DF51E0" w14:textId="77777777" w:rsidTr="009A3CC7">
        <w:trPr>
          <w:trHeight w:val="300"/>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6A978C49" w14:textId="544392C3" w:rsidR="000414CE" w:rsidRPr="000414CE" w:rsidRDefault="000414CE" w:rsidP="009A3CC7">
            <w:pPr>
              <w:bidi w:val="0"/>
              <w:spacing w:before="60" w:after="60"/>
              <w:rPr>
                <w:rFonts w:asciiTheme="minorBidi" w:hAnsiTheme="minorBidi" w:cstheme="minorBidi"/>
                <w:b w:val="0"/>
                <w:bCs w:val="0"/>
                <w:color w:val="000000"/>
                <w:szCs w:val="24"/>
                <w:lang w:eastAsia="en-US"/>
              </w:rPr>
            </w:pPr>
            <w:r w:rsidRPr="000A55D3">
              <w:rPr>
                <w:rFonts w:ascii="Arial" w:hAnsi="Arial" w:cs="Arial"/>
                <w:b w:val="0"/>
                <w:bCs w:val="0"/>
                <w:szCs w:val="24"/>
              </w:rPr>
              <w:t>Jerusalem</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52EDC65A"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16.3</w:t>
            </w:r>
          </w:p>
        </w:tc>
      </w:tr>
      <w:tr w:rsidR="000414CE" w:rsidRPr="004313EF" w14:paraId="1A0F5E5F" w14:textId="77777777" w:rsidTr="009A3CC7">
        <w:trPr>
          <w:trHeight w:val="300"/>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4054B66C" w14:textId="54F44D35" w:rsidR="000414CE" w:rsidRPr="000414CE" w:rsidRDefault="000414CE" w:rsidP="009A3CC7">
            <w:pPr>
              <w:bidi w:val="0"/>
              <w:spacing w:before="60" w:after="60"/>
              <w:rPr>
                <w:rFonts w:asciiTheme="minorBidi" w:hAnsiTheme="minorBidi" w:cstheme="minorBidi"/>
                <w:b w:val="0"/>
                <w:bCs w:val="0"/>
                <w:color w:val="000000"/>
                <w:szCs w:val="24"/>
                <w:lang w:eastAsia="en-US"/>
              </w:rPr>
            </w:pPr>
            <w:r w:rsidRPr="000A55D3">
              <w:rPr>
                <w:rFonts w:ascii="Arial" w:hAnsi="Arial" w:cs="Arial"/>
                <w:b w:val="0"/>
                <w:bCs w:val="0"/>
                <w:szCs w:val="24"/>
              </w:rPr>
              <w:t>Shefar</w:t>
            </w:r>
            <w:r>
              <w:rPr>
                <w:rFonts w:ascii="Arial" w:hAnsi="Arial" w:cs="Arial"/>
                <w:b w:val="0"/>
                <w:bCs w:val="0"/>
                <w:szCs w:val="24"/>
              </w:rPr>
              <w:t>’</w:t>
            </w:r>
            <w:r w:rsidRPr="000A55D3">
              <w:rPr>
                <w:rFonts w:ascii="Arial" w:hAnsi="Arial" w:cs="Arial"/>
                <w:b w:val="0"/>
                <w:bCs w:val="0"/>
                <w:szCs w:val="24"/>
              </w:rPr>
              <w:t>am</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0CE721FB"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10.4</w:t>
            </w:r>
          </w:p>
        </w:tc>
      </w:tr>
      <w:tr w:rsidR="000414CE" w:rsidRPr="004313EF" w14:paraId="1AEAA51F" w14:textId="77777777" w:rsidTr="009A3CC7">
        <w:trPr>
          <w:trHeight w:val="300"/>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5AA4213A" w14:textId="2119ECE4" w:rsidR="000414CE" w:rsidRPr="000414CE" w:rsidRDefault="000414CE" w:rsidP="009A3CC7">
            <w:pPr>
              <w:bidi w:val="0"/>
              <w:spacing w:before="60" w:after="60"/>
              <w:rPr>
                <w:rFonts w:asciiTheme="minorBidi" w:hAnsiTheme="minorBidi" w:cstheme="minorBidi"/>
                <w:b w:val="0"/>
                <w:bCs w:val="0"/>
                <w:color w:val="000000"/>
                <w:szCs w:val="24"/>
                <w:lang w:eastAsia="en-US"/>
              </w:rPr>
            </w:pPr>
            <w:r>
              <w:rPr>
                <w:rFonts w:asciiTheme="minorBidi" w:hAnsiTheme="minorBidi" w:cstheme="minorBidi" w:hint="cs"/>
                <w:b w:val="0"/>
                <w:bCs w:val="0"/>
                <w:color w:val="000000"/>
                <w:szCs w:val="24"/>
                <w:lang w:eastAsia="en-US"/>
              </w:rPr>
              <w:t>N</w:t>
            </w:r>
            <w:r>
              <w:rPr>
                <w:rFonts w:asciiTheme="minorBidi" w:hAnsiTheme="minorBidi" w:cstheme="minorBidi"/>
                <w:b w:val="0"/>
                <w:bCs w:val="0"/>
                <w:color w:val="000000"/>
                <w:szCs w:val="24"/>
                <w:lang w:eastAsia="en-US"/>
              </w:rPr>
              <w:t>of HaGalil</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659B892E"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8.7</w:t>
            </w:r>
          </w:p>
        </w:tc>
      </w:tr>
      <w:tr w:rsidR="000414CE" w:rsidRPr="004313EF" w14:paraId="624B5031" w14:textId="77777777" w:rsidTr="009A3CC7">
        <w:trPr>
          <w:trHeight w:val="254"/>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36CD4FF5" w14:textId="547F53A7" w:rsidR="000414CE" w:rsidRPr="000414CE" w:rsidRDefault="000414CE" w:rsidP="009A3CC7">
            <w:pPr>
              <w:bidi w:val="0"/>
              <w:spacing w:before="60" w:after="60"/>
              <w:rPr>
                <w:rFonts w:asciiTheme="minorBidi" w:hAnsiTheme="minorBidi" w:cstheme="minorBidi"/>
                <w:b w:val="0"/>
                <w:bCs w:val="0"/>
                <w:color w:val="000000"/>
                <w:szCs w:val="24"/>
                <w:lang w:eastAsia="en-US"/>
              </w:rPr>
            </w:pPr>
            <w:r w:rsidRPr="000A55D3">
              <w:rPr>
                <w:rFonts w:ascii="Arial" w:hAnsi="Arial" w:cs="Arial"/>
                <w:b w:val="0"/>
                <w:bCs w:val="0"/>
                <w:szCs w:val="24"/>
              </w:rPr>
              <w:t>Tel Aviv</w:t>
            </w:r>
            <w:r>
              <w:rPr>
                <w:rFonts w:ascii="Arial" w:hAnsi="Arial" w:cs="Arial"/>
                <w:b w:val="0"/>
                <w:bCs w:val="0"/>
                <w:szCs w:val="24"/>
              </w:rPr>
              <w:t>-Yafo</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7D813E98"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7.5</w:t>
            </w:r>
          </w:p>
        </w:tc>
      </w:tr>
      <w:tr w:rsidR="000414CE" w:rsidRPr="004313EF" w14:paraId="702DB65C" w14:textId="77777777" w:rsidTr="009A3CC7">
        <w:trPr>
          <w:trHeight w:val="279"/>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7E50551E" w14:textId="5679343D" w:rsidR="000414CE" w:rsidRPr="000414CE" w:rsidRDefault="000414CE" w:rsidP="009A3CC7">
            <w:pPr>
              <w:bidi w:val="0"/>
              <w:spacing w:before="60" w:after="60"/>
              <w:rPr>
                <w:rFonts w:asciiTheme="minorBidi" w:hAnsiTheme="minorBidi" w:cstheme="minorBidi"/>
                <w:b w:val="0"/>
                <w:bCs w:val="0"/>
                <w:color w:val="000000"/>
                <w:szCs w:val="24"/>
                <w:lang w:eastAsia="en-US"/>
              </w:rPr>
            </w:pPr>
            <w:r>
              <w:rPr>
                <w:rFonts w:asciiTheme="minorBidi" w:hAnsiTheme="minorBidi" w:cstheme="minorBidi"/>
                <w:b w:val="0"/>
                <w:bCs w:val="0"/>
                <w:color w:val="000000"/>
                <w:szCs w:val="24"/>
                <w:lang w:eastAsia="en-US"/>
              </w:rPr>
              <w:t>I'billin</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6ADE609F"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5.7</w:t>
            </w:r>
          </w:p>
        </w:tc>
      </w:tr>
      <w:tr w:rsidR="000414CE" w:rsidRPr="004313EF" w14:paraId="7C1307AC" w14:textId="77777777" w:rsidTr="009A3CC7">
        <w:trPr>
          <w:trHeight w:val="300"/>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24B9D857" w14:textId="30EAF176" w:rsidR="000414CE" w:rsidRPr="000414CE" w:rsidRDefault="000414CE" w:rsidP="009A3CC7">
            <w:pPr>
              <w:bidi w:val="0"/>
              <w:spacing w:before="60" w:after="60"/>
              <w:rPr>
                <w:rFonts w:asciiTheme="minorBidi" w:hAnsiTheme="minorBidi" w:cstheme="minorBidi"/>
                <w:b w:val="0"/>
                <w:bCs w:val="0"/>
                <w:color w:val="000000"/>
                <w:szCs w:val="24"/>
                <w:lang w:eastAsia="en-US"/>
              </w:rPr>
            </w:pPr>
            <w:r>
              <w:rPr>
                <w:rFonts w:asciiTheme="minorBidi" w:hAnsiTheme="minorBidi" w:cstheme="minorBidi"/>
                <w:b w:val="0"/>
                <w:bCs w:val="0"/>
                <w:color w:val="000000"/>
                <w:szCs w:val="24"/>
                <w:lang w:eastAsia="en-US"/>
              </w:rPr>
              <w:t>Kafa Yasif</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08AD5142"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5.4</w:t>
            </w:r>
          </w:p>
        </w:tc>
      </w:tr>
      <w:tr w:rsidR="000414CE" w:rsidRPr="004313EF" w14:paraId="47774A75" w14:textId="77777777" w:rsidTr="009A3CC7">
        <w:trPr>
          <w:trHeight w:val="241"/>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011A4241" w14:textId="6D11C81B" w:rsidR="000414CE" w:rsidRPr="000414CE" w:rsidRDefault="00374223" w:rsidP="009A3CC7">
            <w:pPr>
              <w:bidi w:val="0"/>
              <w:spacing w:before="60" w:after="60"/>
              <w:rPr>
                <w:rFonts w:asciiTheme="minorBidi" w:hAnsiTheme="minorBidi" w:cstheme="minorBidi"/>
                <w:b w:val="0"/>
                <w:bCs w:val="0"/>
                <w:color w:val="000000"/>
                <w:szCs w:val="24"/>
                <w:lang w:eastAsia="en-US"/>
              </w:rPr>
            </w:pPr>
            <w:r>
              <w:rPr>
                <w:rFonts w:asciiTheme="minorBidi" w:hAnsiTheme="minorBidi" w:cstheme="minorBidi" w:hint="cs"/>
                <w:b w:val="0"/>
                <w:bCs w:val="0"/>
                <w:color w:val="000000"/>
                <w:szCs w:val="24"/>
                <w:lang w:eastAsia="en-US"/>
              </w:rPr>
              <w:t>M</w:t>
            </w:r>
            <w:r>
              <w:rPr>
                <w:rFonts w:asciiTheme="minorBidi" w:hAnsiTheme="minorBidi" w:cstheme="minorBidi"/>
                <w:b w:val="0"/>
                <w:bCs w:val="0"/>
                <w:color w:val="000000"/>
                <w:szCs w:val="24"/>
                <w:lang w:eastAsia="en-US"/>
              </w:rPr>
              <w:t>ughar</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676C7953"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4.9</w:t>
            </w:r>
          </w:p>
        </w:tc>
      </w:tr>
      <w:tr w:rsidR="000414CE" w:rsidRPr="004313EF" w14:paraId="18C31EDC" w14:textId="77777777" w:rsidTr="009A3CC7">
        <w:trPr>
          <w:trHeight w:val="265"/>
          <w:jc w:val="center"/>
        </w:trPr>
        <w:tc>
          <w:tcPr>
            <w:tcW w:w="2242" w:type="dxa"/>
            <w:tcBorders>
              <w:top w:val="nil"/>
              <w:left w:val="single" w:sz="4" w:space="0" w:color="auto"/>
              <w:bottom w:val="single" w:sz="4" w:space="0" w:color="auto"/>
              <w:right w:val="single" w:sz="4" w:space="0" w:color="auto"/>
            </w:tcBorders>
            <w:shd w:val="clear" w:color="auto" w:fill="auto"/>
            <w:vAlign w:val="center"/>
            <w:hideMark/>
          </w:tcPr>
          <w:p w14:paraId="46703F9F" w14:textId="071BB67D" w:rsidR="000414CE" w:rsidRPr="000414CE" w:rsidRDefault="00374223" w:rsidP="009A3CC7">
            <w:pPr>
              <w:bidi w:val="0"/>
              <w:spacing w:before="60" w:after="60"/>
              <w:rPr>
                <w:rFonts w:asciiTheme="minorBidi" w:hAnsiTheme="minorBidi" w:cstheme="minorBidi"/>
                <w:b w:val="0"/>
                <w:bCs w:val="0"/>
                <w:color w:val="000000"/>
                <w:szCs w:val="24"/>
                <w:rtl/>
                <w:lang w:eastAsia="en-US"/>
              </w:rPr>
            </w:pPr>
            <w:r>
              <w:rPr>
                <w:rFonts w:asciiTheme="minorBidi" w:hAnsiTheme="minorBidi" w:cstheme="minorBidi"/>
                <w:b w:val="0"/>
                <w:bCs w:val="0"/>
                <w:color w:val="000000"/>
                <w:szCs w:val="24"/>
                <w:lang w:eastAsia="en-US"/>
              </w:rPr>
              <w:t>Eilabun</w:t>
            </w:r>
          </w:p>
        </w:tc>
        <w:tc>
          <w:tcPr>
            <w:tcW w:w="2431" w:type="dxa"/>
            <w:tcBorders>
              <w:top w:val="nil"/>
              <w:left w:val="single" w:sz="4" w:space="0" w:color="auto"/>
              <w:bottom w:val="single" w:sz="4" w:space="0" w:color="auto"/>
              <w:right w:val="single" w:sz="4" w:space="0" w:color="auto"/>
            </w:tcBorders>
            <w:shd w:val="clear" w:color="auto" w:fill="auto"/>
            <w:noWrap/>
            <w:vAlign w:val="center"/>
            <w:hideMark/>
          </w:tcPr>
          <w:p w14:paraId="5B459DC9" w14:textId="77777777" w:rsidR="000414CE" w:rsidRPr="000414CE" w:rsidRDefault="000414CE" w:rsidP="009A3CC7">
            <w:pPr>
              <w:bidi w:val="0"/>
              <w:spacing w:before="60" w:after="60"/>
              <w:jc w:val="center"/>
              <w:rPr>
                <w:rFonts w:asciiTheme="minorBidi" w:hAnsiTheme="minorBidi" w:cstheme="minorBidi"/>
                <w:b w:val="0"/>
                <w:bCs w:val="0"/>
                <w:color w:val="000000"/>
                <w:szCs w:val="24"/>
                <w:lang w:eastAsia="en-US"/>
              </w:rPr>
            </w:pPr>
            <w:r w:rsidRPr="000414CE">
              <w:rPr>
                <w:rFonts w:asciiTheme="minorBidi" w:hAnsiTheme="minorBidi" w:cstheme="minorBidi"/>
                <w:b w:val="0"/>
                <w:bCs w:val="0"/>
                <w:color w:val="000000"/>
                <w:szCs w:val="24"/>
                <w:lang w:eastAsia="en-US"/>
              </w:rPr>
              <w:t>4.1</w:t>
            </w:r>
          </w:p>
        </w:tc>
      </w:tr>
    </w:tbl>
    <w:p w14:paraId="55141947" w14:textId="77777777" w:rsidR="000414CE" w:rsidRDefault="000414CE">
      <w:pPr>
        <w:bidi w:val="0"/>
        <w:rPr>
          <w:rFonts w:ascii="Arial" w:hAnsi="Arial" w:cs="Arial"/>
          <w:color w:val="4F81BD"/>
          <w:szCs w:val="24"/>
        </w:rPr>
      </w:pPr>
      <w:r>
        <w:br w:type="page"/>
      </w:r>
    </w:p>
    <w:p w14:paraId="7AD1EED7" w14:textId="6FC0DE11" w:rsidR="00FD49D7" w:rsidRPr="000A55D3" w:rsidRDefault="00FD49D7" w:rsidP="00636749">
      <w:pPr>
        <w:pStyle w:val="Heading2"/>
      </w:pPr>
      <w:r w:rsidRPr="000A55D3">
        <w:t>Marriage and Fertility</w:t>
      </w:r>
    </w:p>
    <w:p w14:paraId="62C4B713" w14:textId="24727586" w:rsidR="00FD49D7" w:rsidRPr="000A55D3" w:rsidRDefault="00CE4278" w:rsidP="005C509A">
      <w:pPr>
        <w:bidi w:val="0"/>
        <w:spacing w:after="120" w:line="360" w:lineRule="auto"/>
        <w:rPr>
          <w:rFonts w:ascii="Arial" w:hAnsi="Arial" w:cs="Arial"/>
          <w:b w:val="0"/>
          <w:bCs w:val="0"/>
          <w:szCs w:val="24"/>
        </w:rPr>
      </w:pPr>
      <w:r w:rsidRPr="000A55D3">
        <w:rPr>
          <w:rFonts w:ascii="Arial" w:hAnsi="Arial" w:cs="Arial"/>
          <w:b w:val="0"/>
          <w:bCs w:val="0"/>
          <w:szCs w:val="24"/>
        </w:rPr>
        <w:t>In 201</w:t>
      </w:r>
      <w:r w:rsidR="005C509A">
        <w:rPr>
          <w:rFonts w:ascii="Arial" w:hAnsi="Arial" w:cs="Arial" w:hint="cs"/>
          <w:b w:val="0"/>
          <w:bCs w:val="0"/>
          <w:szCs w:val="24"/>
          <w:rtl/>
        </w:rPr>
        <w:t>9</w:t>
      </w:r>
      <w:r w:rsidRPr="000A55D3">
        <w:rPr>
          <w:rFonts w:ascii="Arial" w:hAnsi="Arial" w:cs="Arial"/>
          <w:b w:val="0"/>
          <w:bCs w:val="0"/>
          <w:szCs w:val="24"/>
        </w:rPr>
        <w:t xml:space="preserve">, </w:t>
      </w:r>
      <w:r w:rsidR="005C509A">
        <w:rPr>
          <w:rFonts w:ascii="Arial" w:hAnsi="Arial" w:cs="Arial" w:hint="cs"/>
          <w:b w:val="0"/>
          <w:bCs w:val="0"/>
          <w:szCs w:val="24"/>
          <w:rtl/>
        </w:rPr>
        <w:t>803</w:t>
      </w:r>
      <w:r w:rsidR="00FD49D7" w:rsidRPr="000A55D3">
        <w:rPr>
          <w:rFonts w:ascii="Arial" w:hAnsi="Arial" w:cs="Arial"/>
          <w:b w:val="0"/>
          <w:bCs w:val="0"/>
          <w:szCs w:val="24"/>
        </w:rPr>
        <w:t xml:space="preserve"> Christian couples married in Israel</w:t>
      </w:r>
      <w:r w:rsidRPr="000A55D3">
        <w:rPr>
          <w:rFonts w:ascii="Arial" w:hAnsi="Arial" w:cs="Arial"/>
          <w:b w:val="0"/>
          <w:bCs w:val="0"/>
          <w:szCs w:val="24"/>
        </w:rPr>
        <w:t>;</w:t>
      </w:r>
      <w:r w:rsidR="00FD49D7" w:rsidRPr="000A55D3">
        <w:rPr>
          <w:rFonts w:ascii="Arial" w:hAnsi="Arial" w:cs="Arial"/>
          <w:b w:val="0"/>
          <w:bCs w:val="0"/>
          <w:szCs w:val="24"/>
        </w:rPr>
        <w:t xml:space="preserve"> </w:t>
      </w:r>
      <w:r w:rsidR="005C509A">
        <w:rPr>
          <w:rFonts w:ascii="Arial" w:hAnsi="Arial" w:cs="Arial" w:hint="cs"/>
          <w:b w:val="0"/>
          <w:bCs w:val="0"/>
          <w:szCs w:val="24"/>
          <w:rtl/>
        </w:rPr>
        <w:t>89</w:t>
      </w:r>
      <w:r w:rsidR="00FD49D7" w:rsidRPr="000A55D3">
        <w:rPr>
          <w:rFonts w:ascii="Arial" w:hAnsi="Arial" w:cs="Arial"/>
          <w:b w:val="0"/>
          <w:bCs w:val="0"/>
          <w:szCs w:val="24"/>
        </w:rPr>
        <w:t>% of the grooms and 8</w:t>
      </w:r>
      <w:r w:rsidR="005C509A">
        <w:rPr>
          <w:rFonts w:ascii="Arial" w:hAnsi="Arial" w:cs="Arial" w:hint="cs"/>
          <w:b w:val="0"/>
          <w:bCs w:val="0"/>
          <w:szCs w:val="24"/>
          <w:rtl/>
        </w:rPr>
        <w:t>9</w:t>
      </w:r>
      <w:r w:rsidR="00FD49D7" w:rsidRPr="000A55D3">
        <w:rPr>
          <w:rFonts w:ascii="Arial" w:hAnsi="Arial" w:cs="Arial"/>
          <w:b w:val="0"/>
          <w:bCs w:val="0"/>
          <w:szCs w:val="24"/>
        </w:rPr>
        <w:t>% of the brides were Arab Christians.</w:t>
      </w:r>
      <w:r w:rsidR="005C509A">
        <w:rPr>
          <w:rStyle w:val="FootnoteReference"/>
          <w:rFonts w:ascii="Arial" w:hAnsi="Arial"/>
          <w:b w:val="0"/>
          <w:bCs w:val="0"/>
        </w:rPr>
        <w:footnoteReference w:id="4"/>
      </w:r>
    </w:p>
    <w:p w14:paraId="1511211D" w14:textId="7F3C34BD" w:rsidR="00FD49D7" w:rsidRPr="000A55D3" w:rsidRDefault="00FD49D7" w:rsidP="007F6B88">
      <w:pPr>
        <w:bidi w:val="0"/>
        <w:spacing w:after="120" w:line="360" w:lineRule="auto"/>
        <w:rPr>
          <w:rFonts w:ascii="Arial" w:hAnsi="Arial" w:cs="Arial"/>
          <w:b w:val="0"/>
          <w:bCs w:val="0"/>
          <w:szCs w:val="24"/>
        </w:rPr>
      </w:pPr>
      <w:r w:rsidRPr="000A55D3">
        <w:rPr>
          <w:rFonts w:ascii="Arial" w:hAnsi="Arial" w:cs="Arial"/>
          <w:b w:val="0"/>
          <w:bCs w:val="0"/>
          <w:szCs w:val="24"/>
        </w:rPr>
        <w:t>The average age of Christian grooms marrying for the first time in 201</w:t>
      </w:r>
      <w:r w:rsidR="00F00470">
        <w:rPr>
          <w:rFonts w:ascii="Arial" w:hAnsi="Arial" w:cs="Arial"/>
          <w:b w:val="0"/>
          <w:bCs w:val="0"/>
          <w:szCs w:val="24"/>
        </w:rPr>
        <w:t>9</w:t>
      </w:r>
      <w:r w:rsidRPr="000A55D3">
        <w:rPr>
          <w:rFonts w:ascii="Arial" w:hAnsi="Arial" w:cs="Arial"/>
          <w:b w:val="0"/>
          <w:bCs w:val="0"/>
          <w:szCs w:val="24"/>
        </w:rPr>
        <w:t xml:space="preserve"> was </w:t>
      </w:r>
      <w:r w:rsidR="00F00470">
        <w:rPr>
          <w:rFonts w:ascii="Arial" w:hAnsi="Arial" w:cs="Arial"/>
          <w:b w:val="0"/>
          <w:bCs w:val="0"/>
          <w:szCs w:val="24"/>
        </w:rPr>
        <w:t>30</w:t>
      </w:r>
      <w:r w:rsidR="00AD00DE">
        <w:rPr>
          <w:rFonts w:ascii="Arial" w:hAnsi="Arial" w:cs="Arial"/>
          <w:b w:val="0"/>
          <w:bCs w:val="0"/>
          <w:szCs w:val="24"/>
        </w:rPr>
        <w:t>.</w:t>
      </w:r>
      <w:r w:rsidR="00F00470">
        <w:rPr>
          <w:rFonts w:ascii="Arial" w:hAnsi="Arial" w:cs="Arial"/>
          <w:b w:val="0"/>
          <w:bCs w:val="0"/>
          <w:szCs w:val="24"/>
        </w:rPr>
        <w:t>3</w:t>
      </w:r>
      <w:r w:rsidR="00AD00DE">
        <w:rPr>
          <w:rFonts w:ascii="Arial" w:hAnsi="Arial" w:cs="Arial"/>
          <w:b w:val="0"/>
          <w:bCs w:val="0"/>
          <w:szCs w:val="24"/>
        </w:rPr>
        <w:t>,</w:t>
      </w:r>
      <w:r w:rsidRPr="000A55D3">
        <w:rPr>
          <w:rFonts w:ascii="Arial" w:hAnsi="Arial" w:cs="Arial"/>
          <w:b w:val="0"/>
          <w:bCs w:val="0"/>
          <w:szCs w:val="24"/>
        </w:rPr>
        <w:t xml:space="preserve"> </w:t>
      </w:r>
      <w:r w:rsidRPr="00B967CC">
        <w:rPr>
          <w:rFonts w:ascii="Arial" w:hAnsi="Arial" w:cs="Arial"/>
          <w:b w:val="0"/>
          <w:bCs w:val="0"/>
          <w:szCs w:val="24"/>
        </w:rPr>
        <w:t xml:space="preserve">older than </w:t>
      </w:r>
      <w:r w:rsidR="00F00470">
        <w:rPr>
          <w:rFonts w:ascii="Arial" w:hAnsi="Arial" w:cs="Arial"/>
          <w:b w:val="0"/>
          <w:bCs w:val="0"/>
          <w:szCs w:val="24"/>
        </w:rPr>
        <w:t>the other groups</w:t>
      </w:r>
      <w:r w:rsidRPr="00B967CC">
        <w:rPr>
          <w:rFonts w:ascii="Arial" w:hAnsi="Arial" w:cs="Arial"/>
          <w:b w:val="0"/>
          <w:bCs w:val="0"/>
          <w:szCs w:val="24"/>
        </w:rPr>
        <w:t>.</w:t>
      </w:r>
      <w:r w:rsidR="00F00470">
        <w:rPr>
          <w:rFonts w:ascii="Arial" w:hAnsi="Arial" w:cs="Arial"/>
          <w:b w:val="0"/>
          <w:bCs w:val="0"/>
          <w:szCs w:val="24"/>
        </w:rPr>
        <w:t xml:space="preserve"> </w:t>
      </w:r>
      <w:r w:rsidRPr="00B967CC">
        <w:rPr>
          <w:rFonts w:ascii="Arial" w:hAnsi="Arial" w:cs="Arial"/>
          <w:b w:val="0"/>
          <w:bCs w:val="0"/>
          <w:szCs w:val="24"/>
        </w:rPr>
        <w:t xml:space="preserve">The </w:t>
      </w:r>
      <w:r w:rsidR="00CB5F34" w:rsidRPr="00B967CC">
        <w:rPr>
          <w:rFonts w:ascii="Arial" w:hAnsi="Arial" w:cs="Arial"/>
          <w:b w:val="0"/>
          <w:bCs w:val="0"/>
          <w:szCs w:val="24"/>
        </w:rPr>
        <w:t>average</w:t>
      </w:r>
      <w:r w:rsidRPr="00B967CC">
        <w:rPr>
          <w:rFonts w:ascii="Arial" w:hAnsi="Arial" w:cs="Arial"/>
          <w:b w:val="0"/>
          <w:bCs w:val="0"/>
          <w:szCs w:val="24"/>
        </w:rPr>
        <w:t xml:space="preserve"> age of Christian brides marrying for the first time was</w:t>
      </w:r>
      <w:r w:rsidR="009D4E61" w:rsidRPr="00B967CC">
        <w:rPr>
          <w:rFonts w:ascii="Arial" w:hAnsi="Arial" w:cs="Arial"/>
          <w:b w:val="0"/>
          <w:bCs w:val="0"/>
          <w:szCs w:val="24"/>
        </w:rPr>
        <w:t xml:space="preserve"> also higher than that of the other groups:</w:t>
      </w:r>
      <w:r w:rsidRPr="00B967CC">
        <w:rPr>
          <w:rFonts w:ascii="Arial" w:hAnsi="Arial" w:cs="Arial"/>
          <w:b w:val="0"/>
          <w:bCs w:val="0"/>
          <w:szCs w:val="24"/>
        </w:rPr>
        <w:t xml:space="preserve"> 2</w:t>
      </w:r>
      <w:r w:rsidR="00CB5F34" w:rsidRPr="00B967CC">
        <w:rPr>
          <w:rFonts w:ascii="Arial" w:hAnsi="Arial" w:cs="Arial"/>
          <w:b w:val="0"/>
          <w:bCs w:val="0"/>
          <w:szCs w:val="24"/>
        </w:rPr>
        <w:t>6</w:t>
      </w:r>
      <w:r w:rsidR="009D4E61" w:rsidRPr="00B967CC">
        <w:rPr>
          <w:rFonts w:ascii="Arial" w:hAnsi="Arial" w:cs="Arial"/>
          <w:b w:val="0"/>
          <w:bCs w:val="0"/>
          <w:szCs w:val="24"/>
        </w:rPr>
        <w:t>.</w:t>
      </w:r>
      <w:r w:rsidR="00F00470">
        <w:rPr>
          <w:rFonts w:ascii="Arial" w:hAnsi="Arial" w:cs="Arial"/>
          <w:b w:val="0"/>
          <w:bCs w:val="0"/>
          <w:szCs w:val="24"/>
        </w:rPr>
        <w:t>7</w:t>
      </w:r>
      <w:r w:rsidR="00361890" w:rsidRPr="00B967CC">
        <w:rPr>
          <w:rFonts w:ascii="Arial" w:hAnsi="Arial" w:cs="Arial"/>
          <w:b w:val="0"/>
          <w:bCs w:val="0"/>
          <w:szCs w:val="24"/>
        </w:rPr>
        <w:t>.</w:t>
      </w:r>
    </w:p>
    <w:p w14:paraId="03A5187E" w14:textId="6256C46A" w:rsidR="00FB72C7" w:rsidRPr="00FB72C7" w:rsidRDefault="00FB72C7" w:rsidP="00FB72C7">
      <w:pPr>
        <w:tabs>
          <w:tab w:val="left" w:pos="0"/>
          <w:tab w:val="left" w:pos="72"/>
        </w:tabs>
        <w:bidi w:val="0"/>
        <w:spacing w:before="240"/>
        <w:ind w:left="357" w:right="720"/>
        <w:jc w:val="center"/>
        <w:rPr>
          <w:rFonts w:asciiTheme="minorBidi" w:hAnsiTheme="minorBidi" w:cstheme="minorBidi"/>
          <w:noProof/>
          <w:lang w:eastAsia="en-US"/>
        </w:rPr>
      </w:pPr>
      <w:r w:rsidRPr="00FB72C7">
        <w:rPr>
          <w:rFonts w:asciiTheme="minorBidi" w:hAnsiTheme="minorBidi" w:cstheme="minorBidi"/>
          <w:noProof/>
          <w:lang w:eastAsia="en-US"/>
        </w:rPr>
        <w:t xml:space="preserve">Diagram 5 - </w:t>
      </w:r>
      <w:r w:rsidRPr="00FB72C7">
        <w:rPr>
          <w:rFonts w:asciiTheme="minorBidi" w:hAnsiTheme="minorBidi" w:cstheme="minorBidi"/>
        </w:rPr>
        <w:t>Average Age at First Marriage, by Religion and Sex, 2019</w:t>
      </w:r>
    </w:p>
    <w:p w14:paraId="779EDE0F" w14:textId="6E65F8F6" w:rsidR="00EE769B" w:rsidRDefault="00FB72C7" w:rsidP="00FB72C7">
      <w:pPr>
        <w:tabs>
          <w:tab w:val="left" w:pos="0"/>
          <w:tab w:val="left" w:pos="72"/>
        </w:tabs>
        <w:bidi w:val="0"/>
        <w:spacing w:before="120" w:line="360" w:lineRule="auto"/>
        <w:jc w:val="center"/>
        <w:rPr>
          <w:rFonts w:ascii="Arial" w:hAnsi="Arial" w:cs="Arial"/>
          <w:color w:val="FF0000"/>
          <w:spacing w:val="2"/>
          <w:szCs w:val="24"/>
          <w:rtl/>
        </w:rPr>
      </w:pPr>
      <w:r>
        <w:rPr>
          <w:rFonts w:ascii="Arial" w:hAnsi="Arial" w:cs="Arial"/>
          <w:noProof/>
          <w:color w:val="FF0000"/>
          <w:spacing w:val="2"/>
          <w:szCs w:val="24"/>
          <w:lang w:eastAsia="en-US"/>
        </w:rPr>
        <w:drawing>
          <wp:inline distT="0" distB="0" distL="0" distR="0" wp14:anchorId="324B7D24" wp14:editId="60F90BD0">
            <wp:extent cx="4648200" cy="2834640"/>
            <wp:effectExtent l="0" t="0" r="0" b="3810"/>
            <wp:docPr id="17" name="Picture 17" descr="Diagram 5 - Average Age at First Marriage, by Religion and Sex, 2019" title="Diagram 5 - Average Age at First Marriage, by Religion and Sex,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2834640"/>
                    </a:xfrm>
                    <a:prstGeom prst="rect">
                      <a:avLst/>
                    </a:prstGeom>
                    <a:noFill/>
                  </pic:spPr>
                </pic:pic>
              </a:graphicData>
            </a:graphic>
          </wp:inline>
        </w:drawing>
      </w:r>
    </w:p>
    <w:p w14:paraId="230B3391" w14:textId="6E3BC1C6" w:rsidR="00EE769B" w:rsidRPr="000A55D3" w:rsidRDefault="00EE769B" w:rsidP="00A658FB">
      <w:pPr>
        <w:bidi w:val="0"/>
        <w:spacing w:before="240" w:after="120" w:line="380" w:lineRule="atLeast"/>
        <w:rPr>
          <w:rFonts w:ascii="Arial" w:hAnsi="Arial" w:cs="Arial"/>
          <w:b w:val="0"/>
          <w:bCs w:val="0"/>
          <w:szCs w:val="24"/>
        </w:rPr>
      </w:pPr>
      <w:r w:rsidRPr="000A55D3">
        <w:rPr>
          <w:rFonts w:ascii="Arial" w:hAnsi="Arial" w:cs="Arial"/>
          <w:b w:val="0"/>
          <w:bCs w:val="0"/>
          <w:szCs w:val="24"/>
        </w:rPr>
        <w:t>In 20</w:t>
      </w:r>
      <w:r>
        <w:rPr>
          <w:rFonts w:ascii="Arial" w:hAnsi="Arial" w:cs="Arial"/>
          <w:b w:val="0"/>
          <w:bCs w:val="0"/>
          <w:szCs w:val="24"/>
        </w:rPr>
        <w:t>20</w:t>
      </w:r>
      <w:r w:rsidRPr="000A55D3">
        <w:rPr>
          <w:rFonts w:ascii="Arial" w:hAnsi="Arial" w:cs="Arial"/>
          <w:b w:val="0"/>
          <w:bCs w:val="0"/>
          <w:szCs w:val="24"/>
        </w:rPr>
        <w:t xml:space="preserve">, </w:t>
      </w:r>
      <w:r>
        <w:rPr>
          <w:rFonts w:ascii="Arial" w:hAnsi="Arial" w:cs="Arial"/>
          <w:b w:val="0"/>
          <w:bCs w:val="0"/>
          <w:szCs w:val="24"/>
        </w:rPr>
        <w:t>2,497</w:t>
      </w:r>
      <w:r w:rsidRPr="000A55D3">
        <w:rPr>
          <w:rFonts w:ascii="Arial" w:hAnsi="Arial" w:cs="Arial"/>
          <w:b w:val="0"/>
          <w:bCs w:val="0"/>
          <w:szCs w:val="24"/>
        </w:rPr>
        <w:t xml:space="preserve"> infants were born to Christian women; approximately </w:t>
      </w:r>
      <w:r>
        <w:rPr>
          <w:rFonts w:ascii="Arial" w:hAnsi="Arial" w:cs="Arial"/>
          <w:b w:val="0"/>
          <w:bCs w:val="0"/>
          <w:szCs w:val="24"/>
        </w:rPr>
        <w:t>72</w:t>
      </w:r>
      <w:r w:rsidRPr="000A55D3">
        <w:rPr>
          <w:rFonts w:ascii="Arial" w:hAnsi="Arial" w:cs="Arial"/>
          <w:b w:val="0"/>
          <w:bCs w:val="0"/>
          <w:szCs w:val="24"/>
        </w:rPr>
        <w:t xml:space="preserve">% of them </w:t>
      </w:r>
      <w:r>
        <w:rPr>
          <w:rFonts w:ascii="Arial" w:hAnsi="Arial" w:cs="Arial"/>
          <w:b w:val="0"/>
          <w:bCs w:val="0"/>
          <w:szCs w:val="24"/>
        </w:rPr>
        <w:t xml:space="preserve">(1,797 infants) </w:t>
      </w:r>
      <w:r w:rsidRPr="000A55D3">
        <w:rPr>
          <w:rFonts w:ascii="Arial" w:hAnsi="Arial" w:cs="Arial"/>
          <w:b w:val="0"/>
          <w:bCs w:val="0"/>
          <w:szCs w:val="24"/>
        </w:rPr>
        <w:t>were born to Arab Christian women.</w:t>
      </w:r>
    </w:p>
    <w:p w14:paraId="45EAD45E" w14:textId="06F4268A" w:rsidR="00FD49D7" w:rsidRPr="000A55D3" w:rsidRDefault="00FD49D7" w:rsidP="005F3051">
      <w:pPr>
        <w:bidi w:val="0"/>
        <w:spacing w:after="120" w:line="380" w:lineRule="atLeast"/>
        <w:rPr>
          <w:rFonts w:ascii="Arial" w:hAnsi="Arial" w:cs="Arial"/>
          <w:b w:val="0"/>
          <w:bCs w:val="0"/>
          <w:szCs w:val="24"/>
        </w:rPr>
      </w:pPr>
      <w:r w:rsidRPr="000A55D3">
        <w:rPr>
          <w:rFonts w:ascii="Arial" w:hAnsi="Arial" w:cs="Arial"/>
          <w:b w:val="0"/>
          <w:bCs w:val="0"/>
          <w:szCs w:val="24"/>
        </w:rPr>
        <w:t xml:space="preserve">Out of </w:t>
      </w:r>
      <w:r w:rsidR="00EE769B">
        <w:rPr>
          <w:rFonts w:ascii="Arial" w:hAnsi="Arial" w:cs="Arial"/>
          <w:b w:val="0"/>
          <w:bCs w:val="0"/>
          <w:szCs w:val="24"/>
        </w:rPr>
        <w:t>700</w:t>
      </w:r>
      <w:r w:rsidRPr="000A55D3">
        <w:rPr>
          <w:rFonts w:ascii="Arial" w:hAnsi="Arial" w:cs="Arial"/>
          <w:b w:val="0"/>
          <w:bCs w:val="0"/>
          <w:szCs w:val="24"/>
        </w:rPr>
        <w:t xml:space="preserve"> infants born to non-Arab Christian women, approximately </w:t>
      </w:r>
      <w:r w:rsidR="00B84989">
        <w:rPr>
          <w:rFonts w:ascii="Arial" w:hAnsi="Arial" w:cs="Arial"/>
          <w:b w:val="0"/>
          <w:bCs w:val="0"/>
          <w:szCs w:val="24"/>
        </w:rPr>
        <w:t>4</w:t>
      </w:r>
      <w:r w:rsidR="008150F7">
        <w:rPr>
          <w:rFonts w:ascii="Arial" w:hAnsi="Arial" w:cs="Arial"/>
          <w:b w:val="0"/>
          <w:bCs w:val="0"/>
          <w:szCs w:val="24"/>
        </w:rPr>
        <w:t>0</w:t>
      </w:r>
      <w:r w:rsidRPr="000A55D3">
        <w:rPr>
          <w:rFonts w:ascii="Arial" w:hAnsi="Arial" w:cs="Arial"/>
          <w:b w:val="0"/>
          <w:bCs w:val="0"/>
          <w:szCs w:val="24"/>
        </w:rPr>
        <w:t xml:space="preserve">% were born to women </w:t>
      </w:r>
      <w:r w:rsidR="00CB5F34" w:rsidRPr="000A55D3">
        <w:rPr>
          <w:rFonts w:ascii="Arial" w:hAnsi="Arial" w:cs="Arial"/>
          <w:b w:val="0"/>
          <w:bCs w:val="0"/>
          <w:szCs w:val="24"/>
        </w:rPr>
        <w:t xml:space="preserve">born in </w:t>
      </w:r>
      <w:r w:rsidRPr="000A55D3">
        <w:rPr>
          <w:rFonts w:ascii="Arial" w:hAnsi="Arial" w:cs="Arial"/>
          <w:b w:val="0"/>
          <w:bCs w:val="0"/>
          <w:szCs w:val="24"/>
        </w:rPr>
        <w:t xml:space="preserve">the </w:t>
      </w:r>
      <w:r w:rsidR="00B967CC">
        <w:rPr>
          <w:rFonts w:ascii="Arial" w:hAnsi="Arial" w:cs="Arial"/>
          <w:b w:val="0"/>
          <w:bCs w:val="0"/>
          <w:szCs w:val="24"/>
        </w:rPr>
        <w:t>USSR (former)</w:t>
      </w:r>
      <w:r w:rsidRPr="000A55D3">
        <w:rPr>
          <w:rFonts w:ascii="Arial" w:hAnsi="Arial" w:cs="Arial"/>
          <w:b w:val="0"/>
          <w:bCs w:val="0"/>
          <w:szCs w:val="24"/>
        </w:rPr>
        <w:t>, approximately 1</w:t>
      </w:r>
      <w:r w:rsidR="008150F7">
        <w:rPr>
          <w:rFonts w:ascii="Arial" w:hAnsi="Arial" w:cs="Arial"/>
          <w:b w:val="0"/>
          <w:bCs w:val="0"/>
          <w:szCs w:val="24"/>
        </w:rPr>
        <w:t>8</w:t>
      </w:r>
      <w:r w:rsidRPr="000A55D3">
        <w:rPr>
          <w:rFonts w:ascii="Arial" w:hAnsi="Arial" w:cs="Arial"/>
          <w:b w:val="0"/>
          <w:bCs w:val="0"/>
          <w:szCs w:val="24"/>
        </w:rPr>
        <w:t>% to women born in</w:t>
      </w:r>
      <w:r>
        <w:rPr>
          <w:rFonts w:ascii="Arial" w:hAnsi="Arial" w:cs="Arial"/>
          <w:b w:val="0"/>
          <w:bCs w:val="0"/>
          <w:sz w:val="22"/>
          <w:szCs w:val="22"/>
        </w:rPr>
        <w:t xml:space="preserve"> </w:t>
      </w:r>
      <w:r w:rsidRPr="000A55D3">
        <w:rPr>
          <w:rFonts w:ascii="Arial" w:hAnsi="Arial" w:cs="Arial"/>
          <w:b w:val="0"/>
          <w:bCs w:val="0"/>
          <w:szCs w:val="24"/>
        </w:rPr>
        <w:t xml:space="preserve">Ethiopia, approximately </w:t>
      </w:r>
      <w:r w:rsidR="008150F7">
        <w:rPr>
          <w:rFonts w:ascii="Arial" w:hAnsi="Arial" w:cs="Arial"/>
          <w:b w:val="0"/>
          <w:bCs w:val="0"/>
          <w:szCs w:val="24"/>
        </w:rPr>
        <w:t>9</w:t>
      </w:r>
      <w:r w:rsidRPr="000A55D3">
        <w:rPr>
          <w:rFonts w:ascii="Arial" w:hAnsi="Arial" w:cs="Arial"/>
          <w:b w:val="0"/>
          <w:bCs w:val="0"/>
          <w:szCs w:val="24"/>
        </w:rPr>
        <w:t xml:space="preserve">% to women born in </w:t>
      </w:r>
      <w:r w:rsidR="00D6050C">
        <w:rPr>
          <w:rFonts w:ascii="Arial" w:hAnsi="Arial" w:cs="Arial"/>
          <w:b w:val="0"/>
          <w:bCs w:val="0"/>
          <w:szCs w:val="24"/>
        </w:rPr>
        <w:t>Israel</w:t>
      </w:r>
      <w:r w:rsidRPr="000A55D3">
        <w:rPr>
          <w:rFonts w:ascii="Arial" w:hAnsi="Arial" w:cs="Arial"/>
          <w:b w:val="0"/>
          <w:bCs w:val="0"/>
          <w:szCs w:val="24"/>
        </w:rPr>
        <w:t xml:space="preserve">, </w:t>
      </w:r>
      <w:r w:rsidR="00D6050C">
        <w:rPr>
          <w:rFonts w:ascii="Arial" w:hAnsi="Arial" w:cs="Arial"/>
          <w:b w:val="0"/>
          <w:bCs w:val="0"/>
          <w:szCs w:val="24"/>
        </w:rPr>
        <w:t xml:space="preserve">approximately </w:t>
      </w:r>
      <w:r w:rsidR="005F3051">
        <w:rPr>
          <w:rFonts w:ascii="Arial" w:hAnsi="Arial" w:cs="Arial"/>
          <w:b w:val="0"/>
          <w:bCs w:val="0"/>
          <w:szCs w:val="24"/>
        </w:rPr>
        <w:t>6</w:t>
      </w:r>
      <w:r w:rsidR="00D6050C">
        <w:rPr>
          <w:rFonts w:ascii="Arial" w:hAnsi="Arial" w:cs="Arial"/>
          <w:b w:val="0"/>
          <w:bCs w:val="0"/>
          <w:szCs w:val="24"/>
        </w:rPr>
        <w:t xml:space="preserve">% to women born in the Philippines, </w:t>
      </w:r>
      <w:r w:rsidRPr="000A55D3">
        <w:rPr>
          <w:rFonts w:ascii="Arial" w:hAnsi="Arial" w:cs="Arial"/>
          <w:b w:val="0"/>
          <w:bCs w:val="0"/>
          <w:szCs w:val="24"/>
        </w:rPr>
        <w:t xml:space="preserve">and approximately </w:t>
      </w:r>
      <w:r w:rsidR="007F6B88">
        <w:rPr>
          <w:rFonts w:ascii="Arial" w:hAnsi="Arial" w:cs="Arial"/>
          <w:b w:val="0"/>
          <w:bCs w:val="0"/>
          <w:szCs w:val="24"/>
        </w:rPr>
        <w:t>3</w:t>
      </w:r>
      <w:r w:rsidRPr="000A55D3">
        <w:rPr>
          <w:rFonts w:ascii="Arial" w:hAnsi="Arial" w:cs="Arial"/>
          <w:b w:val="0"/>
          <w:bCs w:val="0"/>
          <w:szCs w:val="24"/>
        </w:rPr>
        <w:t>% to women born in Romania</w:t>
      </w:r>
      <w:r w:rsidR="00D6050C">
        <w:rPr>
          <w:rFonts w:ascii="Arial" w:hAnsi="Arial" w:cs="Arial"/>
          <w:b w:val="0"/>
          <w:bCs w:val="0"/>
          <w:szCs w:val="24"/>
        </w:rPr>
        <w:t xml:space="preserve"> and in Germany</w:t>
      </w:r>
      <w:r w:rsidRPr="000A55D3">
        <w:rPr>
          <w:rFonts w:ascii="Arial" w:hAnsi="Arial" w:cs="Arial"/>
          <w:b w:val="0"/>
          <w:bCs w:val="0"/>
          <w:szCs w:val="24"/>
        </w:rPr>
        <w:t>.</w:t>
      </w:r>
      <w:r w:rsidR="00CB5F34" w:rsidRPr="000A55D3">
        <w:rPr>
          <w:rStyle w:val="FootnoteReference"/>
          <w:rFonts w:ascii="Arial" w:hAnsi="Arial"/>
          <w:b w:val="0"/>
          <w:bCs w:val="0"/>
          <w:szCs w:val="24"/>
        </w:rPr>
        <w:footnoteReference w:id="5"/>
      </w:r>
    </w:p>
    <w:p w14:paraId="4A08B8C3" w14:textId="05A7BE5E" w:rsidR="005944BB" w:rsidRDefault="00B93956" w:rsidP="00DD25C4">
      <w:pPr>
        <w:bidi w:val="0"/>
        <w:spacing w:after="120" w:line="380" w:lineRule="atLeast"/>
        <w:rPr>
          <w:rFonts w:ascii="Arial" w:hAnsi="Arial" w:cs="Arial"/>
          <w:color w:val="4F81BD"/>
          <w:szCs w:val="24"/>
        </w:rPr>
      </w:pPr>
      <w:r w:rsidRPr="000A55D3">
        <w:rPr>
          <w:rFonts w:ascii="Arial" w:hAnsi="Arial" w:cs="Arial"/>
          <w:b w:val="0"/>
          <w:bCs w:val="0"/>
          <w:szCs w:val="24"/>
        </w:rPr>
        <w:t>In 20</w:t>
      </w:r>
      <w:r w:rsidR="008150F7">
        <w:rPr>
          <w:rFonts w:ascii="Arial" w:hAnsi="Arial" w:cs="Arial"/>
          <w:b w:val="0"/>
          <w:bCs w:val="0"/>
          <w:szCs w:val="24"/>
        </w:rPr>
        <w:t>20</w:t>
      </w:r>
      <w:r w:rsidR="00FD49D7" w:rsidRPr="000A55D3">
        <w:rPr>
          <w:rFonts w:ascii="Arial" w:hAnsi="Arial" w:cs="Arial"/>
          <w:b w:val="0"/>
          <w:bCs w:val="0"/>
          <w:szCs w:val="24"/>
        </w:rPr>
        <w:t xml:space="preserve">, the number of children a Christian woman was expected to </w:t>
      </w:r>
      <w:r w:rsidR="007F6B88">
        <w:rPr>
          <w:rFonts w:ascii="Arial" w:hAnsi="Arial" w:cs="Arial"/>
          <w:b w:val="0"/>
          <w:bCs w:val="0"/>
          <w:szCs w:val="24"/>
        </w:rPr>
        <w:t>bear</w:t>
      </w:r>
      <w:r w:rsidR="00FD49D7" w:rsidRPr="000A55D3">
        <w:rPr>
          <w:rFonts w:ascii="Arial" w:hAnsi="Arial" w:cs="Arial"/>
          <w:b w:val="0"/>
          <w:bCs w:val="0"/>
          <w:szCs w:val="24"/>
        </w:rPr>
        <w:t xml:space="preserve"> during the course of her lifetime (the total fertility rate) </w:t>
      </w:r>
      <w:r w:rsidR="008150F7">
        <w:rPr>
          <w:rFonts w:ascii="Arial" w:hAnsi="Arial" w:cs="Arial"/>
          <w:b w:val="0"/>
          <w:bCs w:val="0"/>
          <w:szCs w:val="24"/>
        </w:rPr>
        <w:t>was</w:t>
      </w:r>
      <w:r w:rsidR="00FD49D7" w:rsidRPr="000A55D3">
        <w:rPr>
          <w:rFonts w:ascii="Arial" w:hAnsi="Arial" w:cs="Arial"/>
          <w:b w:val="0"/>
          <w:bCs w:val="0"/>
          <w:szCs w:val="24"/>
        </w:rPr>
        <w:t xml:space="preserve"> </w:t>
      </w:r>
      <w:r w:rsidR="001E4C61">
        <w:rPr>
          <w:rFonts w:ascii="Arial" w:hAnsi="Arial" w:cs="Arial"/>
          <w:b w:val="0"/>
          <w:bCs w:val="0"/>
          <w:szCs w:val="24"/>
        </w:rPr>
        <w:t>1.8</w:t>
      </w:r>
      <w:r w:rsidR="008150F7">
        <w:rPr>
          <w:rFonts w:ascii="Arial" w:hAnsi="Arial" w:cs="Arial"/>
          <w:b w:val="0"/>
          <w:bCs w:val="0"/>
          <w:szCs w:val="24"/>
        </w:rPr>
        <w:t>5</w:t>
      </w:r>
      <w:r w:rsidR="00FD49D7" w:rsidRPr="000A55D3">
        <w:rPr>
          <w:rFonts w:ascii="Arial" w:hAnsi="Arial" w:cs="Arial"/>
          <w:b w:val="0"/>
          <w:bCs w:val="0"/>
          <w:szCs w:val="24"/>
        </w:rPr>
        <w:t xml:space="preserve"> children per woman</w:t>
      </w:r>
      <w:r w:rsidR="008150F7">
        <w:rPr>
          <w:rFonts w:ascii="Arial" w:hAnsi="Arial" w:cs="Arial"/>
          <w:b w:val="0"/>
          <w:bCs w:val="0"/>
          <w:szCs w:val="24"/>
        </w:rPr>
        <w:t>, 1</w:t>
      </w:r>
      <w:r w:rsidR="001E4C61">
        <w:rPr>
          <w:rFonts w:ascii="Arial" w:hAnsi="Arial" w:cs="Arial"/>
          <w:b w:val="0"/>
          <w:bCs w:val="0"/>
          <w:szCs w:val="24"/>
        </w:rPr>
        <w:t>.</w:t>
      </w:r>
      <w:r w:rsidR="008150F7">
        <w:rPr>
          <w:rFonts w:ascii="Arial" w:hAnsi="Arial" w:cs="Arial"/>
          <w:b w:val="0"/>
          <w:bCs w:val="0"/>
          <w:szCs w:val="24"/>
        </w:rPr>
        <w:t>80</w:t>
      </w:r>
      <w:r w:rsidRPr="000A55D3">
        <w:rPr>
          <w:rFonts w:ascii="Arial" w:hAnsi="Arial" w:cs="Arial"/>
          <w:b w:val="0"/>
          <w:bCs w:val="0"/>
          <w:szCs w:val="24"/>
        </w:rPr>
        <w:t xml:space="preserve"> </w:t>
      </w:r>
      <w:r w:rsidR="001E4C61">
        <w:rPr>
          <w:rFonts w:ascii="Arial" w:hAnsi="Arial" w:cs="Arial"/>
          <w:b w:val="0"/>
          <w:bCs w:val="0"/>
          <w:szCs w:val="24"/>
        </w:rPr>
        <w:t>in 201</w:t>
      </w:r>
      <w:r w:rsidR="008150F7">
        <w:rPr>
          <w:rFonts w:ascii="Arial" w:hAnsi="Arial" w:cs="Arial"/>
          <w:b w:val="0"/>
          <w:bCs w:val="0"/>
          <w:szCs w:val="24"/>
        </w:rPr>
        <w:t>9</w:t>
      </w:r>
      <w:r w:rsidR="00FD49D7" w:rsidRPr="000A55D3">
        <w:rPr>
          <w:rFonts w:ascii="Arial" w:hAnsi="Arial" w:cs="Arial"/>
          <w:b w:val="0"/>
          <w:bCs w:val="0"/>
          <w:szCs w:val="24"/>
        </w:rPr>
        <w:t xml:space="preserve">. </w:t>
      </w:r>
      <w:r w:rsidR="00B56F0C">
        <w:rPr>
          <w:rFonts w:ascii="Arial" w:hAnsi="Arial" w:cs="Arial"/>
          <w:b w:val="0"/>
          <w:bCs w:val="0"/>
          <w:szCs w:val="24"/>
        </w:rPr>
        <w:t xml:space="preserve">The number of children per </w:t>
      </w:r>
      <w:r w:rsidR="007F6B88">
        <w:rPr>
          <w:rFonts w:ascii="Arial" w:hAnsi="Arial" w:cs="Arial"/>
          <w:b w:val="0"/>
          <w:bCs w:val="0"/>
          <w:szCs w:val="24"/>
        </w:rPr>
        <w:t xml:space="preserve">Arab </w:t>
      </w:r>
      <w:r w:rsidR="00B56F0C">
        <w:rPr>
          <w:rFonts w:ascii="Arial" w:hAnsi="Arial" w:cs="Arial"/>
          <w:b w:val="0"/>
          <w:bCs w:val="0"/>
          <w:szCs w:val="24"/>
        </w:rPr>
        <w:t xml:space="preserve">Christian woman was </w:t>
      </w:r>
      <w:r w:rsidR="00FC5DBB">
        <w:rPr>
          <w:rFonts w:ascii="Arial" w:hAnsi="Arial" w:cs="Arial"/>
          <w:b w:val="0"/>
          <w:bCs w:val="0"/>
          <w:szCs w:val="24"/>
        </w:rPr>
        <w:t>lower still</w:t>
      </w:r>
      <w:r w:rsidR="00B56F0C">
        <w:rPr>
          <w:rFonts w:ascii="Arial" w:hAnsi="Arial" w:cs="Arial"/>
          <w:b w:val="0"/>
          <w:bCs w:val="0"/>
          <w:szCs w:val="24"/>
        </w:rPr>
        <w:t>, at 1.7</w:t>
      </w:r>
      <w:r w:rsidR="008150F7">
        <w:rPr>
          <w:rFonts w:ascii="Arial" w:hAnsi="Arial" w:cs="Arial"/>
          <w:b w:val="0"/>
          <w:bCs w:val="0"/>
          <w:szCs w:val="24"/>
        </w:rPr>
        <w:t>4</w:t>
      </w:r>
      <w:r w:rsidR="00B56F0C">
        <w:rPr>
          <w:rFonts w:ascii="Arial" w:hAnsi="Arial" w:cs="Arial"/>
          <w:b w:val="0"/>
          <w:bCs w:val="0"/>
          <w:szCs w:val="24"/>
        </w:rPr>
        <w:t xml:space="preserve"> children per woman. By way of comparison, a </w:t>
      </w:r>
      <w:r w:rsidR="008150F7" w:rsidRPr="000A55D3">
        <w:rPr>
          <w:rFonts w:ascii="Arial" w:hAnsi="Arial" w:cs="Arial"/>
          <w:b w:val="0"/>
          <w:bCs w:val="0"/>
          <w:szCs w:val="24"/>
        </w:rPr>
        <w:t xml:space="preserve">Jewish woman </w:t>
      </w:r>
      <w:r w:rsidR="00FD49D7" w:rsidRPr="000A55D3">
        <w:rPr>
          <w:rFonts w:ascii="Arial" w:hAnsi="Arial" w:cs="Arial"/>
          <w:b w:val="0"/>
          <w:bCs w:val="0"/>
          <w:szCs w:val="24"/>
        </w:rPr>
        <w:t xml:space="preserve">was expected to </w:t>
      </w:r>
      <w:r w:rsidR="007F6B88">
        <w:rPr>
          <w:rFonts w:ascii="Arial" w:hAnsi="Arial" w:cs="Arial"/>
          <w:b w:val="0"/>
          <w:bCs w:val="0"/>
          <w:szCs w:val="24"/>
        </w:rPr>
        <w:t>bear</w:t>
      </w:r>
      <w:r w:rsidR="00FD49D7" w:rsidRPr="000A55D3">
        <w:rPr>
          <w:rFonts w:ascii="Arial" w:hAnsi="Arial" w:cs="Arial"/>
          <w:b w:val="0"/>
          <w:bCs w:val="0"/>
          <w:szCs w:val="24"/>
        </w:rPr>
        <w:t xml:space="preserve"> 3</w:t>
      </w:r>
      <w:r w:rsidRPr="000A55D3">
        <w:rPr>
          <w:rFonts w:ascii="Arial" w:hAnsi="Arial" w:cs="Arial"/>
          <w:b w:val="0"/>
          <w:bCs w:val="0"/>
          <w:szCs w:val="24"/>
        </w:rPr>
        <w:t>.</w:t>
      </w:r>
      <w:r w:rsidR="008150F7">
        <w:rPr>
          <w:rFonts w:ascii="Arial" w:hAnsi="Arial" w:cs="Arial"/>
          <w:b w:val="0"/>
          <w:bCs w:val="0"/>
          <w:szCs w:val="24"/>
        </w:rPr>
        <w:t>00</w:t>
      </w:r>
      <w:r w:rsidRPr="000A55D3">
        <w:rPr>
          <w:rFonts w:ascii="Arial" w:hAnsi="Arial" w:cs="Arial"/>
          <w:b w:val="0"/>
          <w:bCs w:val="0"/>
          <w:szCs w:val="24"/>
        </w:rPr>
        <w:t xml:space="preserve"> </w:t>
      </w:r>
      <w:r w:rsidR="00FD49D7" w:rsidRPr="000A55D3">
        <w:rPr>
          <w:rFonts w:ascii="Arial" w:hAnsi="Arial" w:cs="Arial"/>
          <w:b w:val="0"/>
          <w:bCs w:val="0"/>
          <w:szCs w:val="24"/>
        </w:rPr>
        <w:t xml:space="preserve">children during her lifetime, a </w:t>
      </w:r>
      <w:r w:rsidR="008150F7" w:rsidRPr="000A55D3">
        <w:rPr>
          <w:rFonts w:ascii="Arial" w:hAnsi="Arial" w:cs="Arial"/>
          <w:b w:val="0"/>
          <w:bCs w:val="0"/>
          <w:szCs w:val="24"/>
        </w:rPr>
        <w:t xml:space="preserve">Moslem woman </w:t>
      </w:r>
      <w:r w:rsidR="008150F7">
        <w:rPr>
          <w:rFonts w:ascii="Arial" w:hAnsi="Arial" w:cs="Arial"/>
          <w:b w:val="0"/>
          <w:bCs w:val="0"/>
          <w:szCs w:val="24"/>
        </w:rPr>
        <w:t>2</w:t>
      </w:r>
      <w:r w:rsidR="00FD49D7" w:rsidRPr="000A55D3">
        <w:rPr>
          <w:rFonts w:ascii="Arial" w:hAnsi="Arial" w:cs="Arial"/>
          <w:b w:val="0"/>
          <w:bCs w:val="0"/>
          <w:szCs w:val="24"/>
        </w:rPr>
        <w:t>.</w:t>
      </w:r>
      <w:r w:rsidR="008150F7">
        <w:rPr>
          <w:rFonts w:ascii="Arial" w:hAnsi="Arial" w:cs="Arial"/>
          <w:b w:val="0"/>
          <w:bCs w:val="0"/>
          <w:szCs w:val="24"/>
        </w:rPr>
        <w:t>9</w:t>
      </w:r>
      <w:r w:rsidR="001E03EA">
        <w:rPr>
          <w:rFonts w:ascii="Arial" w:hAnsi="Arial" w:cs="Arial"/>
          <w:b w:val="0"/>
          <w:bCs w:val="0"/>
          <w:szCs w:val="24"/>
        </w:rPr>
        <w:t>9</w:t>
      </w:r>
      <w:r w:rsidR="00FD49D7" w:rsidRPr="000A55D3">
        <w:rPr>
          <w:rFonts w:ascii="Arial" w:hAnsi="Arial" w:cs="Arial"/>
          <w:b w:val="0"/>
          <w:bCs w:val="0"/>
          <w:szCs w:val="24"/>
        </w:rPr>
        <w:t xml:space="preserve">, and a Druze woman </w:t>
      </w:r>
      <w:r w:rsidR="008150F7">
        <w:rPr>
          <w:rFonts w:ascii="Arial" w:hAnsi="Arial" w:cs="Arial"/>
          <w:b w:val="0"/>
          <w:bCs w:val="0"/>
          <w:szCs w:val="24"/>
        </w:rPr>
        <w:t>1</w:t>
      </w:r>
      <w:r w:rsidR="00FD49D7" w:rsidRPr="000A55D3">
        <w:rPr>
          <w:rFonts w:ascii="Arial" w:hAnsi="Arial" w:cs="Arial"/>
          <w:b w:val="0"/>
          <w:bCs w:val="0"/>
          <w:szCs w:val="24"/>
        </w:rPr>
        <w:t>.</w:t>
      </w:r>
      <w:r w:rsidR="008150F7">
        <w:rPr>
          <w:rFonts w:ascii="Arial" w:hAnsi="Arial" w:cs="Arial"/>
          <w:b w:val="0"/>
          <w:bCs w:val="0"/>
          <w:szCs w:val="24"/>
        </w:rPr>
        <w:t>94</w:t>
      </w:r>
      <w:r w:rsidRPr="000A55D3">
        <w:rPr>
          <w:rFonts w:ascii="Arial" w:hAnsi="Arial" w:cs="Arial"/>
          <w:b w:val="0"/>
          <w:bCs w:val="0"/>
          <w:szCs w:val="24"/>
        </w:rPr>
        <w:t>.</w:t>
      </w:r>
    </w:p>
    <w:p w14:paraId="622F1008" w14:textId="647A7C8A" w:rsidR="00F00CC7" w:rsidRPr="000A55D3" w:rsidRDefault="00F00CC7" w:rsidP="00636749">
      <w:pPr>
        <w:pStyle w:val="Heading2"/>
      </w:pPr>
      <w:r w:rsidRPr="000A55D3">
        <w:t>Households and Families</w:t>
      </w:r>
      <w:r w:rsidR="0037306C" w:rsidRPr="000A55D3">
        <w:rPr>
          <w:rStyle w:val="FootnoteReference"/>
          <w:szCs w:val="24"/>
        </w:rPr>
        <w:footnoteReference w:id="6"/>
      </w:r>
    </w:p>
    <w:p w14:paraId="4286E2E4" w14:textId="157B9705" w:rsidR="00367341" w:rsidRDefault="00367341" w:rsidP="001B65E5">
      <w:pPr>
        <w:bidi w:val="0"/>
        <w:spacing w:after="120" w:line="360" w:lineRule="auto"/>
        <w:rPr>
          <w:rFonts w:ascii="Arial" w:hAnsi="Arial" w:cs="Arial"/>
          <w:b w:val="0"/>
          <w:bCs w:val="0"/>
          <w:szCs w:val="24"/>
        </w:rPr>
      </w:pPr>
      <w:r w:rsidRPr="000A55D3">
        <w:rPr>
          <w:rFonts w:ascii="Arial" w:hAnsi="Arial" w:cs="Arial"/>
          <w:b w:val="0"/>
          <w:bCs w:val="0"/>
          <w:szCs w:val="24"/>
        </w:rPr>
        <w:t>In 20</w:t>
      </w:r>
      <w:r w:rsidR="001B65E5">
        <w:rPr>
          <w:rFonts w:ascii="Arial" w:hAnsi="Arial" w:cs="Arial"/>
          <w:b w:val="0"/>
          <w:bCs w:val="0"/>
          <w:szCs w:val="24"/>
        </w:rPr>
        <w:t>20</w:t>
      </w:r>
      <w:r w:rsidRPr="000A55D3">
        <w:rPr>
          <w:rFonts w:ascii="Arial" w:hAnsi="Arial" w:cs="Arial"/>
          <w:b w:val="0"/>
          <w:bCs w:val="0"/>
          <w:szCs w:val="24"/>
        </w:rPr>
        <w:t>, approximately 6</w:t>
      </w:r>
      <w:r w:rsidR="001B65E5">
        <w:rPr>
          <w:rFonts w:ascii="Arial" w:hAnsi="Arial" w:cs="Arial"/>
          <w:b w:val="0"/>
          <w:bCs w:val="0"/>
          <w:szCs w:val="24"/>
        </w:rPr>
        <w:t>3</w:t>
      </w:r>
      <w:r w:rsidRPr="000A55D3">
        <w:rPr>
          <w:rFonts w:ascii="Arial" w:hAnsi="Arial" w:cs="Arial"/>
          <w:b w:val="0"/>
          <w:bCs w:val="0"/>
          <w:szCs w:val="24"/>
        </w:rPr>
        <w:t>,000 households</w:t>
      </w:r>
      <w:r w:rsidR="00B93956" w:rsidRPr="000A55D3">
        <w:rPr>
          <w:rFonts w:ascii="Arial" w:hAnsi="Arial" w:cs="Arial"/>
          <w:b w:val="0"/>
          <w:bCs w:val="0"/>
          <w:szCs w:val="24"/>
        </w:rPr>
        <w:t xml:space="preserve"> </w:t>
      </w:r>
      <w:r w:rsidR="00836C6C">
        <w:rPr>
          <w:rFonts w:ascii="Arial" w:hAnsi="Arial" w:cs="Arial"/>
          <w:b w:val="0"/>
          <w:bCs w:val="0"/>
          <w:szCs w:val="24"/>
        </w:rPr>
        <w:t>–</w:t>
      </w:r>
      <w:r w:rsidRPr="000A55D3">
        <w:rPr>
          <w:rFonts w:ascii="Arial" w:hAnsi="Arial" w:cs="Arial"/>
          <w:b w:val="0"/>
          <w:bCs w:val="0"/>
          <w:szCs w:val="24"/>
        </w:rPr>
        <w:t xml:space="preserve"> </w:t>
      </w:r>
      <w:r w:rsidR="00B93956" w:rsidRPr="000A55D3">
        <w:rPr>
          <w:rFonts w:ascii="Arial" w:hAnsi="Arial" w:cs="Arial"/>
          <w:b w:val="0"/>
          <w:bCs w:val="0"/>
          <w:szCs w:val="24"/>
        </w:rPr>
        <w:t>2.</w:t>
      </w:r>
      <w:r w:rsidR="001B65E5">
        <w:rPr>
          <w:rFonts w:ascii="Arial" w:hAnsi="Arial" w:cs="Arial"/>
          <w:b w:val="0"/>
          <w:bCs w:val="0"/>
          <w:szCs w:val="24"/>
        </w:rPr>
        <w:t>3</w:t>
      </w:r>
      <w:r w:rsidRPr="000A55D3">
        <w:rPr>
          <w:rFonts w:ascii="Arial" w:hAnsi="Arial" w:cs="Arial"/>
          <w:b w:val="0"/>
          <w:bCs w:val="0"/>
          <w:szCs w:val="24"/>
        </w:rPr>
        <w:t xml:space="preserve">% of </w:t>
      </w:r>
      <w:r w:rsidR="00B93956" w:rsidRPr="000A55D3">
        <w:rPr>
          <w:rFonts w:ascii="Arial" w:hAnsi="Arial" w:cs="Arial"/>
          <w:b w:val="0"/>
          <w:bCs w:val="0"/>
          <w:szCs w:val="24"/>
        </w:rPr>
        <w:t>al</w:t>
      </w:r>
      <w:r w:rsidRPr="000A55D3">
        <w:rPr>
          <w:rFonts w:ascii="Arial" w:hAnsi="Arial" w:cs="Arial"/>
          <w:b w:val="0"/>
          <w:bCs w:val="0"/>
          <w:szCs w:val="24"/>
        </w:rPr>
        <w:t>l households in Israel</w:t>
      </w:r>
      <w:r w:rsidR="00836C6C">
        <w:rPr>
          <w:rFonts w:ascii="Arial" w:hAnsi="Arial" w:cs="Arial"/>
          <w:b w:val="0"/>
          <w:bCs w:val="0"/>
          <w:szCs w:val="24"/>
        </w:rPr>
        <w:t xml:space="preserve"> – </w:t>
      </w:r>
      <w:r w:rsidR="00836C6C" w:rsidRPr="000A55D3">
        <w:rPr>
          <w:rFonts w:ascii="Arial" w:hAnsi="Arial" w:cs="Arial"/>
          <w:b w:val="0"/>
          <w:bCs w:val="0"/>
          <w:szCs w:val="24"/>
        </w:rPr>
        <w:t>were headed by a Christian</w:t>
      </w:r>
      <w:r w:rsidRPr="000A55D3">
        <w:rPr>
          <w:rFonts w:ascii="Arial" w:hAnsi="Arial" w:cs="Arial"/>
          <w:b w:val="0"/>
          <w:bCs w:val="0"/>
          <w:szCs w:val="24"/>
        </w:rPr>
        <w:t xml:space="preserve">. Of these households, approximately </w:t>
      </w:r>
      <w:r w:rsidR="001B65E5">
        <w:rPr>
          <w:rFonts w:ascii="Arial" w:hAnsi="Arial" w:cs="Arial"/>
          <w:b w:val="0"/>
          <w:bCs w:val="0"/>
          <w:szCs w:val="24"/>
        </w:rPr>
        <w:t>41</w:t>
      </w:r>
      <w:r w:rsidRPr="000A55D3">
        <w:rPr>
          <w:rFonts w:ascii="Arial" w:hAnsi="Arial" w:cs="Arial"/>
          <w:b w:val="0"/>
          <w:bCs w:val="0"/>
          <w:szCs w:val="24"/>
        </w:rPr>
        <w:t xml:space="preserve">,000 were </w:t>
      </w:r>
      <w:r w:rsidR="004B1D36" w:rsidRPr="000A55D3">
        <w:rPr>
          <w:rFonts w:ascii="Arial" w:hAnsi="Arial" w:cs="Arial"/>
          <w:b w:val="0"/>
          <w:bCs w:val="0"/>
          <w:szCs w:val="24"/>
        </w:rPr>
        <w:t>Arab Christian</w:t>
      </w:r>
      <w:r w:rsidRPr="000A55D3">
        <w:rPr>
          <w:rFonts w:ascii="Arial" w:hAnsi="Arial" w:cs="Arial"/>
          <w:b w:val="0"/>
          <w:bCs w:val="0"/>
          <w:szCs w:val="24"/>
        </w:rPr>
        <w:t>.</w:t>
      </w:r>
    </w:p>
    <w:p w14:paraId="4BBB1274" w14:textId="3D7285F1" w:rsidR="00836C6C" w:rsidRPr="000A55D3" w:rsidRDefault="00836C6C" w:rsidP="005974B4">
      <w:pPr>
        <w:bidi w:val="0"/>
        <w:spacing w:after="120" w:line="360" w:lineRule="auto"/>
        <w:rPr>
          <w:rFonts w:ascii="Arial" w:hAnsi="Arial" w:cs="Arial"/>
          <w:b w:val="0"/>
          <w:bCs w:val="0"/>
          <w:szCs w:val="24"/>
        </w:rPr>
      </w:pPr>
      <w:r>
        <w:rPr>
          <w:rFonts w:ascii="Arial" w:hAnsi="Arial" w:cs="Arial"/>
          <w:b w:val="0"/>
          <w:bCs w:val="0"/>
          <w:szCs w:val="24"/>
        </w:rPr>
        <w:t xml:space="preserve">The average size of </w:t>
      </w:r>
      <w:r w:rsidR="008F23E4">
        <w:rPr>
          <w:rFonts w:ascii="Arial" w:hAnsi="Arial" w:cs="Arial"/>
          <w:b w:val="0"/>
          <w:bCs w:val="0"/>
          <w:szCs w:val="24"/>
        </w:rPr>
        <w:t>a</w:t>
      </w:r>
      <w:r>
        <w:rPr>
          <w:rFonts w:ascii="Arial" w:hAnsi="Arial" w:cs="Arial"/>
          <w:b w:val="0"/>
          <w:bCs w:val="0"/>
          <w:szCs w:val="24"/>
        </w:rPr>
        <w:t xml:space="preserve"> household headed by a Christian was 3.0</w:t>
      </w:r>
      <w:r w:rsidR="001B65E5">
        <w:rPr>
          <w:rFonts w:ascii="Arial" w:hAnsi="Arial" w:cs="Arial"/>
          <w:b w:val="0"/>
          <w:bCs w:val="0"/>
          <w:szCs w:val="24"/>
        </w:rPr>
        <w:t>4</w:t>
      </w:r>
      <w:r>
        <w:rPr>
          <w:rFonts w:ascii="Arial" w:hAnsi="Arial" w:cs="Arial"/>
          <w:b w:val="0"/>
          <w:bCs w:val="0"/>
          <w:szCs w:val="24"/>
        </w:rPr>
        <w:t xml:space="preserve"> persons</w:t>
      </w:r>
      <w:r w:rsidR="00DD6FAE">
        <w:rPr>
          <w:rFonts w:ascii="Arial" w:hAnsi="Arial" w:cs="Arial"/>
          <w:b w:val="0"/>
          <w:bCs w:val="0"/>
          <w:szCs w:val="24"/>
        </w:rPr>
        <w:t xml:space="preserve"> –</w:t>
      </w:r>
      <w:r w:rsidR="00DD65A2">
        <w:rPr>
          <w:rFonts w:ascii="Arial" w:hAnsi="Arial" w:cs="Arial"/>
          <w:b w:val="0"/>
          <w:bCs w:val="0"/>
          <w:szCs w:val="24"/>
        </w:rPr>
        <w:t xml:space="preserve"> </w:t>
      </w:r>
      <w:r w:rsidR="00DD6FAE">
        <w:rPr>
          <w:rFonts w:ascii="Arial" w:hAnsi="Arial" w:cs="Arial"/>
          <w:b w:val="0"/>
          <w:bCs w:val="0"/>
          <w:szCs w:val="24"/>
        </w:rPr>
        <w:t xml:space="preserve">slightly lower </w:t>
      </w:r>
      <w:r w:rsidR="000D1CA4">
        <w:rPr>
          <w:rFonts w:ascii="Arial" w:hAnsi="Arial" w:cs="Arial"/>
          <w:b w:val="0"/>
          <w:bCs w:val="0"/>
          <w:szCs w:val="24"/>
        </w:rPr>
        <w:t xml:space="preserve">than the </w:t>
      </w:r>
      <w:r w:rsidR="00DD65A2">
        <w:rPr>
          <w:rFonts w:ascii="Arial" w:hAnsi="Arial" w:cs="Arial"/>
          <w:b w:val="0"/>
          <w:bCs w:val="0"/>
          <w:szCs w:val="24"/>
        </w:rPr>
        <w:t xml:space="preserve">size </w:t>
      </w:r>
      <w:r w:rsidR="00DD6FAE">
        <w:rPr>
          <w:rFonts w:ascii="Arial" w:hAnsi="Arial" w:cs="Arial"/>
          <w:b w:val="0"/>
          <w:bCs w:val="0"/>
          <w:szCs w:val="24"/>
        </w:rPr>
        <w:t>of households headed by a Jew (3.0</w:t>
      </w:r>
      <w:r w:rsidR="005974B4">
        <w:rPr>
          <w:rFonts w:ascii="Arial" w:hAnsi="Arial" w:cs="Arial"/>
          <w:b w:val="0"/>
          <w:bCs w:val="0"/>
          <w:szCs w:val="24"/>
        </w:rPr>
        <w:t>7</w:t>
      </w:r>
      <w:r w:rsidR="00DD6FAE">
        <w:rPr>
          <w:rFonts w:ascii="Arial" w:hAnsi="Arial" w:cs="Arial"/>
          <w:b w:val="0"/>
          <w:bCs w:val="0"/>
          <w:szCs w:val="24"/>
        </w:rPr>
        <w:t xml:space="preserve">), and still lower than </w:t>
      </w:r>
      <w:r w:rsidR="000D1CA4">
        <w:rPr>
          <w:rFonts w:ascii="Arial" w:hAnsi="Arial" w:cs="Arial"/>
          <w:b w:val="0"/>
          <w:bCs w:val="0"/>
          <w:szCs w:val="24"/>
        </w:rPr>
        <w:t xml:space="preserve">the </w:t>
      </w:r>
      <w:r w:rsidR="00DD65A2">
        <w:rPr>
          <w:rFonts w:ascii="Arial" w:hAnsi="Arial" w:cs="Arial"/>
          <w:b w:val="0"/>
          <w:bCs w:val="0"/>
          <w:szCs w:val="24"/>
        </w:rPr>
        <w:t xml:space="preserve">size </w:t>
      </w:r>
      <w:r w:rsidR="00DD6FAE">
        <w:rPr>
          <w:rFonts w:ascii="Arial" w:hAnsi="Arial" w:cs="Arial"/>
          <w:b w:val="0"/>
          <w:bCs w:val="0"/>
          <w:szCs w:val="24"/>
        </w:rPr>
        <w:t>of households headed by a Moslem (4.</w:t>
      </w:r>
      <w:r w:rsidR="005974B4">
        <w:rPr>
          <w:rFonts w:ascii="Arial" w:hAnsi="Arial" w:cs="Arial"/>
          <w:b w:val="0"/>
          <w:bCs w:val="0"/>
          <w:szCs w:val="24"/>
        </w:rPr>
        <w:t>53</w:t>
      </w:r>
      <w:r w:rsidR="00DD6FAE">
        <w:rPr>
          <w:rFonts w:ascii="Arial" w:hAnsi="Arial" w:cs="Arial"/>
          <w:b w:val="0"/>
          <w:bCs w:val="0"/>
          <w:szCs w:val="24"/>
        </w:rPr>
        <w:t>).</w:t>
      </w:r>
    </w:p>
    <w:p w14:paraId="62BFCCDF" w14:textId="3BEB044A" w:rsidR="00B93956" w:rsidRPr="000A55D3" w:rsidRDefault="00B93956" w:rsidP="005974B4">
      <w:pPr>
        <w:bidi w:val="0"/>
        <w:spacing w:after="120" w:line="360" w:lineRule="auto"/>
        <w:rPr>
          <w:rFonts w:ascii="Arial" w:hAnsi="Arial" w:cs="Arial"/>
          <w:b w:val="0"/>
          <w:bCs w:val="0"/>
          <w:szCs w:val="24"/>
        </w:rPr>
      </w:pPr>
      <w:r w:rsidRPr="000A55D3">
        <w:rPr>
          <w:rFonts w:ascii="Arial" w:hAnsi="Arial" w:cs="Arial"/>
          <w:b w:val="0"/>
          <w:bCs w:val="0"/>
          <w:szCs w:val="24"/>
        </w:rPr>
        <w:t xml:space="preserve">In </w:t>
      </w:r>
      <w:r w:rsidR="001C6A14">
        <w:rPr>
          <w:rFonts w:ascii="Arial" w:hAnsi="Arial" w:cs="Arial"/>
          <w:b w:val="0"/>
          <w:bCs w:val="0"/>
          <w:szCs w:val="24"/>
        </w:rPr>
        <w:t>approximately 6</w:t>
      </w:r>
      <w:r w:rsidR="005974B4">
        <w:rPr>
          <w:rFonts w:ascii="Arial" w:hAnsi="Arial" w:cs="Arial"/>
          <w:b w:val="0"/>
          <w:bCs w:val="0"/>
          <w:szCs w:val="24"/>
        </w:rPr>
        <w:t>5</w:t>
      </w:r>
      <w:r w:rsidR="001C6A14">
        <w:rPr>
          <w:rFonts w:ascii="Arial" w:hAnsi="Arial" w:cs="Arial"/>
          <w:b w:val="0"/>
          <w:bCs w:val="0"/>
          <w:szCs w:val="24"/>
        </w:rPr>
        <w:t>%</w:t>
      </w:r>
      <w:r w:rsidRPr="000A55D3">
        <w:rPr>
          <w:rFonts w:ascii="Arial" w:hAnsi="Arial" w:cs="Arial"/>
          <w:b w:val="0"/>
          <w:bCs w:val="0"/>
          <w:szCs w:val="24"/>
        </w:rPr>
        <w:t xml:space="preserve"> of the households headed by a Christian</w:t>
      </w:r>
      <w:r w:rsidR="00A75823">
        <w:rPr>
          <w:rFonts w:ascii="Arial" w:hAnsi="Arial" w:cs="Arial"/>
          <w:b w:val="0"/>
          <w:bCs w:val="0"/>
          <w:szCs w:val="24"/>
        </w:rPr>
        <w:t>,</w:t>
      </w:r>
      <w:r w:rsidRPr="000A55D3">
        <w:rPr>
          <w:rFonts w:ascii="Arial" w:hAnsi="Arial" w:cs="Arial"/>
          <w:b w:val="0"/>
          <w:bCs w:val="0"/>
          <w:szCs w:val="24"/>
        </w:rPr>
        <w:t xml:space="preserve"> the head of the household was an Arab Christian. The average size of the</w:t>
      </w:r>
      <w:r w:rsidR="009D1BE4" w:rsidRPr="000A55D3">
        <w:rPr>
          <w:rFonts w:ascii="Arial" w:hAnsi="Arial" w:cs="Arial"/>
          <w:b w:val="0"/>
          <w:bCs w:val="0"/>
          <w:szCs w:val="24"/>
        </w:rPr>
        <w:t>se households was 3.3</w:t>
      </w:r>
      <w:r w:rsidR="005974B4">
        <w:rPr>
          <w:rFonts w:ascii="Arial" w:hAnsi="Arial" w:cs="Arial"/>
          <w:b w:val="0"/>
          <w:bCs w:val="0"/>
          <w:szCs w:val="24"/>
        </w:rPr>
        <w:t>5</w:t>
      </w:r>
      <w:r w:rsidR="009D1BE4" w:rsidRPr="000A55D3">
        <w:rPr>
          <w:rFonts w:ascii="Arial" w:hAnsi="Arial" w:cs="Arial"/>
          <w:b w:val="0"/>
          <w:bCs w:val="0"/>
          <w:szCs w:val="24"/>
        </w:rPr>
        <w:t xml:space="preserve"> persons.</w:t>
      </w:r>
    </w:p>
    <w:p w14:paraId="732373F4" w14:textId="35F5DD06" w:rsidR="00367341" w:rsidRPr="000A55D3" w:rsidRDefault="00367341" w:rsidP="00BD2F4A">
      <w:pPr>
        <w:bidi w:val="0"/>
        <w:spacing w:after="120" w:line="360" w:lineRule="auto"/>
        <w:rPr>
          <w:rFonts w:ascii="Arial" w:hAnsi="Arial" w:cs="Arial"/>
          <w:b w:val="0"/>
          <w:bCs w:val="0"/>
          <w:szCs w:val="24"/>
        </w:rPr>
      </w:pPr>
      <w:r w:rsidRPr="000A55D3">
        <w:rPr>
          <w:rFonts w:ascii="Arial" w:hAnsi="Arial" w:cs="Arial"/>
          <w:b w:val="0"/>
          <w:bCs w:val="0"/>
          <w:szCs w:val="24"/>
        </w:rPr>
        <w:t xml:space="preserve">Of Christian households, </w:t>
      </w:r>
      <w:r w:rsidR="00373F3F" w:rsidRPr="000A55D3">
        <w:rPr>
          <w:rFonts w:ascii="Arial" w:hAnsi="Arial" w:cs="Arial"/>
          <w:b w:val="0"/>
          <w:bCs w:val="0"/>
          <w:szCs w:val="24"/>
        </w:rPr>
        <w:t xml:space="preserve">approximately </w:t>
      </w:r>
      <w:r w:rsidR="00394E40">
        <w:rPr>
          <w:rFonts w:ascii="Arial" w:hAnsi="Arial" w:cs="Arial"/>
          <w:b w:val="0"/>
          <w:bCs w:val="0"/>
          <w:szCs w:val="24"/>
        </w:rPr>
        <w:t>77</w:t>
      </w:r>
      <w:r w:rsidRPr="000A55D3">
        <w:rPr>
          <w:rFonts w:ascii="Arial" w:hAnsi="Arial" w:cs="Arial"/>
          <w:b w:val="0"/>
          <w:bCs w:val="0"/>
          <w:szCs w:val="24"/>
        </w:rPr>
        <w:t xml:space="preserve">% (approximately </w:t>
      </w:r>
      <w:r w:rsidR="00394E40">
        <w:rPr>
          <w:rFonts w:ascii="Arial" w:hAnsi="Arial" w:cs="Arial"/>
          <w:b w:val="0"/>
          <w:bCs w:val="0"/>
          <w:szCs w:val="24"/>
        </w:rPr>
        <w:t>49</w:t>
      </w:r>
      <w:r w:rsidRPr="000A55D3">
        <w:rPr>
          <w:rFonts w:ascii="Arial" w:hAnsi="Arial" w:cs="Arial"/>
          <w:b w:val="0"/>
          <w:bCs w:val="0"/>
          <w:szCs w:val="24"/>
        </w:rPr>
        <w:t xml:space="preserve">,000) </w:t>
      </w:r>
      <w:r w:rsidR="00300D8B" w:rsidRPr="000A55D3">
        <w:rPr>
          <w:rFonts w:ascii="Arial" w:hAnsi="Arial" w:cs="Arial"/>
          <w:b w:val="0"/>
          <w:bCs w:val="0"/>
          <w:szCs w:val="24"/>
        </w:rPr>
        <w:t>we</w:t>
      </w:r>
      <w:r w:rsidRPr="000A55D3">
        <w:rPr>
          <w:rFonts w:ascii="Arial" w:hAnsi="Arial" w:cs="Arial"/>
          <w:b w:val="0"/>
          <w:bCs w:val="0"/>
          <w:szCs w:val="24"/>
        </w:rPr>
        <w:t xml:space="preserve">re </w:t>
      </w:r>
      <w:r w:rsidR="007D0E6E">
        <w:rPr>
          <w:rFonts w:ascii="Arial" w:hAnsi="Arial" w:cs="Arial"/>
          <w:b w:val="0"/>
          <w:bCs w:val="0"/>
          <w:szCs w:val="24"/>
        </w:rPr>
        <w:t>“</w:t>
      </w:r>
      <w:r w:rsidRPr="000A55D3">
        <w:rPr>
          <w:rFonts w:ascii="Arial" w:hAnsi="Arial" w:cs="Arial"/>
          <w:b w:val="0"/>
          <w:bCs w:val="0"/>
          <w:szCs w:val="24"/>
        </w:rPr>
        <w:t>family</w:t>
      </w:r>
      <w:r w:rsidR="007D0E6E">
        <w:rPr>
          <w:rFonts w:ascii="Arial" w:hAnsi="Arial" w:cs="Arial"/>
          <w:b w:val="0"/>
          <w:bCs w:val="0"/>
          <w:szCs w:val="24"/>
        </w:rPr>
        <w:t>”</w:t>
      </w:r>
      <w:r w:rsidRPr="000A55D3">
        <w:rPr>
          <w:rFonts w:ascii="Arial" w:hAnsi="Arial" w:cs="Arial"/>
          <w:b w:val="0"/>
          <w:bCs w:val="0"/>
          <w:szCs w:val="24"/>
        </w:rPr>
        <w:t xml:space="preserve"> households </w:t>
      </w:r>
      <w:r w:rsidR="002637C6" w:rsidRPr="000A55D3">
        <w:rPr>
          <w:rFonts w:ascii="Arial" w:hAnsi="Arial" w:cs="Arial"/>
          <w:b w:val="0"/>
          <w:bCs w:val="0"/>
          <w:szCs w:val="24"/>
        </w:rPr>
        <w:t>(</w:t>
      </w:r>
      <w:r w:rsidRPr="000A55D3">
        <w:rPr>
          <w:rFonts w:ascii="Arial" w:hAnsi="Arial" w:cs="Arial"/>
          <w:b w:val="0"/>
          <w:bCs w:val="0"/>
          <w:szCs w:val="24"/>
        </w:rPr>
        <w:t>which include at least one family</w:t>
      </w:r>
      <w:r w:rsidR="003D76CE" w:rsidRPr="000A55D3">
        <w:rPr>
          <w:rFonts w:ascii="Arial" w:hAnsi="Arial" w:cs="Arial"/>
          <w:b w:val="0"/>
          <w:bCs w:val="0"/>
          <w:szCs w:val="24"/>
        </w:rPr>
        <w:t>)</w:t>
      </w:r>
      <w:r w:rsidR="00CC492F" w:rsidRPr="000A55D3">
        <w:rPr>
          <w:rFonts w:ascii="Arial" w:hAnsi="Arial" w:cs="Arial"/>
          <w:b w:val="0"/>
          <w:bCs w:val="0"/>
          <w:szCs w:val="24"/>
        </w:rPr>
        <w:t xml:space="preserve">. This was </w:t>
      </w:r>
      <w:r w:rsidR="00300D8B" w:rsidRPr="000A55D3">
        <w:rPr>
          <w:rFonts w:ascii="Arial" w:hAnsi="Arial" w:cs="Arial"/>
          <w:b w:val="0"/>
          <w:bCs w:val="0"/>
          <w:szCs w:val="24"/>
        </w:rPr>
        <w:t xml:space="preserve">similar to the </w:t>
      </w:r>
      <w:r w:rsidR="00CC492F" w:rsidRPr="000A55D3">
        <w:rPr>
          <w:rFonts w:ascii="Arial" w:hAnsi="Arial" w:cs="Arial"/>
          <w:b w:val="0"/>
          <w:bCs w:val="0"/>
          <w:szCs w:val="24"/>
        </w:rPr>
        <w:t xml:space="preserve">percentage </w:t>
      </w:r>
      <w:r w:rsidR="00373F3F" w:rsidRPr="000A55D3">
        <w:rPr>
          <w:rFonts w:ascii="Arial" w:hAnsi="Arial" w:cs="Arial"/>
          <w:b w:val="0"/>
          <w:bCs w:val="0"/>
          <w:szCs w:val="24"/>
        </w:rPr>
        <w:t xml:space="preserve">of </w:t>
      </w:r>
      <w:r w:rsidR="002637C6" w:rsidRPr="000A55D3">
        <w:rPr>
          <w:rFonts w:ascii="Arial" w:hAnsi="Arial" w:cs="Arial"/>
          <w:b w:val="0"/>
          <w:bCs w:val="0"/>
          <w:szCs w:val="24"/>
        </w:rPr>
        <w:t xml:space="preserve">Jewish </w:t>
      </w:r>
      <w:r w:rsidR="00373F3F" w:rsidRPr="000A55D3">
        <w:rPr>
          <w:rFonts w:ascii="Arial" w:hAnsi="Arial" w:cs="Arial"/>
          <w:b w:val="0"/>
          <w:bCs w:val="0"/>
          <w:szCs w:val="24"/>
        </w:rPr>
        <w:t>family households</w:t>
      </w:r>
      <w:r w:rsidR="00300D8B" w:rsidRPr="000A55D3">
        <w:rPr>
          <w:rFonts w:ascii="Arial" w:hAnsi="Arial" w:cs="Arial"/>
          <w:b w:val="0"/>
          <w:bCs w:val="0"/>
          <w:szCs w:val="24"/>
        </w:rPr>
        <w:t xml:space="preserve">, </w:t>
      </w:r>
      <w:r w:rsidR="00463B33">
        <w:rPr>
          <w:rFonts w:ascii="Arial" w:hAnsi="Arial" w:cs="Arial"/>
          <w:b w:val="0"/>
          <w:bCs w:val="0"/>
          <w:szCs w:val="24"/>
        </w:rPr>
        <w:t>as compared with</w:t>
      </w:r>
      <w:r w:rsidR="00300D8B" w:rsidRPr="000A55D3">
        <w:rPr>
          <w:rFonts w:ascii="Arial" w:hAnsi="Arial" w:cs="Arial"/>
          <w:b w:val="0"/>
          <w:bCs w:val="0"/>
          <w:szCs w:val="24"/>
        </w:rPr>
        <w:t xml:space="preserve"> </w:t>
      </w:r>
      <w:r w:rsidR="00A95ACC">
        <w:rPr>
          <w:rFonts w:ascii="Arial" w:hAnsi="Arial" w:cs="Arial"/>
          <w:b w:val="0"/>
          <w:bCs w:val="0"/>
          <w:szCs w:val="24"/>
        </w:rPr>
        <w:t>9</w:t>
      </w:r>
      <w:r w:rsidR="00BD2F4A">
        <w:rPr>
          <w:rFonts w:ascii="Arial" w:hAnsi="Arial" w:cs="Arial"/>
          <w:b w:val="0"/>
          <w:bCs w:val="0"/>
          <w:szCs w:val="24"/>
        </w:rPr>
        <w:t>3</w:t>
      </w:r>
      <w:r w:rsidR="00A95ACC">
        <w:rPr>
          <w:rFonts w:ascii="Arial" w:hAnsi="Arial" w:cs="Arial"/>
          <w:b w:val="0"/>
          <w:bCs w:val="0"/>
          <w:szCs w:val="24"/>
        </w:rPr>
        <w:t>%</w:t>
      </w:r>
      <w:r w:rsidR="00373F3F" w:rsidRPr="000A55D3">
        <w:rPr>
          <w:rFonts w:ascii="Arial" w:hAnsi="Arial" w:cs="Arial"/>
          <w:b w:val="0"/>
          <w:bCs w:val="0"/>
          <w:szCs w:val="24"/>
        </w:rPr>
        <w:t xml:space="preserve"> </w:t>
      </w:r>
      <w:r w:rsidR="00A95ACC">
        <w:rPr>
          <w:rFonts w:ascii="Arial" w:hAnsi="Arial" w:cs="Arial"/>
          <w:b w:val="0"/>
          <w:bCs w:val="0"/>
          <w:szCs w:val="24"/>
        </w:rPr>
        <w:t>among the Moslems</w:t>
      </w:r>
      <w:r w:rsidRPr="000A55D3">
        <w:rPr>
          <w:rFonts w:ascii="Arial" w:hAnsi="Arial" w:cs="Arial"/>
          <w:b w:val="0"/>
          <w:bCs w:val="0"/>
          <w:szCs w:val="24"/>
        </w:rPr>
        <w:t>.</w:t>
      </w:r>
    </w:p>
    <w:p w14:paraId="32245BE4" w14:textId="0C31F24B" w:rsidR="00367341" w:rsidRPr="000A55D3" w:rsidRDefault="00367341" w:rsidP="00BD2F4A">
      <w:pPr>
        <w:bidi w:val="0"/>
        <w:spacing w:after="120" w:line="360" w:lineRule="auto"/>
        <w:rPr>
          <w:rFonts w:ascii="Arial" w:hAnsi="Arial" w:cs="Arial"/>
          <w:b w:val="0"/>
          <w:bCs w:val="0"/>
          <w:szCs w:val="24"/>
        </w:rPr>
      </w:pPr>
      <w:r w:rsidRPr="000A55D3">
        <w:rPr>
          <w:rFonts w:ascii="Arial" w:hAnsi="Arial" w:cs="Arial"/>
          <w:b w:val="0"/>
          <w:bCs w:val="0"/>
          <w:szCs w:val="24"/>
        </w:rPr>
        <w:t>Non-family households, which include one person only or a group of persons who are not a family, comprise</w:t>
      </w:r>
      <w:r w:rsidR="00CC492F" w:rsidRPr="000A55D3">
        <w:rPr>
          <w:rFonts w:ascii="Arial" w:hAnsi="Arial" w:cs="Arial"/>
          <w:b w:val="0"/>
          <w:bCs w:val="0"/>
          <w:szCs w:val="24"/>
        </w:rPr>
        <w:t>d</w:t>
      </w:r>
      <w:r w:rsidRPr="000A55D3">
        <w:rPr>
          <w:rFonts w:ascii="Arial" w:hAnsi="Arial" w:cs="Arial"/>
          <w:b w:val="0"/>
          <w:bCs w:val="0"/>
          <w:szCs w:val="24"/>
        </w:rPr>
        <w:t xml:space="preserve"> approximately </w:t>
      </w:r>
      <w:r w:rsidR="00CC492F" w:rsidRPr="000A55D3">
        <w:rPr>
          <w:rFonts w:ascii="Arial" w:hAnsi="Arial" w:cs="Arial"/>
          <w:b w:val="0"/>
          <w:bCs w:val="0"/>
          <w:szCs w:val="24"/>
        </w:rPr>
        <w:t>2</w:t>
      </w:r>
      <w:r w:rsidR="00271265">
        <w:rPr>
          <w:rFonts w:ascii="Arial" w:hAnsi="Arial" w:cs="Arial"/>
          <w:b w:val="0"/>
          <w:bCs w:val="0"/>
          <w:szCs w:val="24"/>
        </w:rPr>
        <w:t>3</w:t>
      </w:r>
      <w:r w:rsidRPr="000A55D3">
        <w:rPr>
          <w:rFonts w:ascii="Arial" w:hAnsi="Arial" w:cs="Arial"/>
          <w:b w:val="0"/>
          <w:bCs w:val="0"/>
          <w:szCs w:val="24"/>
        </w:rPr>
        <w:t xml:space="preserve">% of </w:t>
      </w:r>
      <w:r w:rsidR="002637C6" w:rsidRPr="000A55D3">
        <w:rPr>
          <w:rFonts w:ascii="Arial" w:hAnsi="Arial" w:cs="Arial"/>
          <w:b w:val="0"/>
          <w:bCs w:val="0"/>
          <w:szCs w:val="24"/>
        </w:rPr>
        <w:t xml:space="preserve">the </w:t>
      </w:r>
      <w:r w:rsidRPr="000A55D3">
        <w:rPr>
          <w:rFonts w:ascii="Arial" w:hAnsi="Arial" w:cs="Arial"/>
          <w:b w:val="0"/>
          <w:bCs w:val="0"/>
          <w:szCs w:val="24"/>
        </w:rPr>
        <w:t xml:space="preserve">Christian households. </w:t>
      </w:r>
      <w:r w:rsidR="00CC492F" w:rsidRPr="000A55D3">
        <w:rPr>
          <w:rFonts w:ascii="Arial" w:hAnsi="Arial" w:cs="Arial"/>
          <w:b w:val="0"/>
          <w:bCs w:val="0"/>
          <w:szCs w:val="24"/>
        </w:rPr>
        <w:t xml:space="preserve">This was similar to the percentage </w:t>
      </w:r>
      <w:r w:rsidR="00DD65A2">
        <w:rPr>
          <w:rFonts w:ascii="Arial" w:hAnsi="Arial" w:cs="Arial"/>
          <w:b w:val="0"/>
          <w:bCs w:val="0"/>
          <w:szCs w:val="24"/>
        </w:rPr>
        <w:t>among</w:t>
      </w:r>
      <w:r w:rsidR="00DD65A2" w:rsidRPr="000A55D3">
        <w:rPr>
          <w:rFonts w:ascii="Arial" w:hAnsi="Arial" w:cs="Arial"/>
          <w:b w:val="0"/>
          <w:bCs w:val="0"/>
          <w:szCs w:val="24"/>
        </w:rPr>
        <w:t xml:space="preserve"> </w:t>
      </w:r>
      <w:r w:rsidR="00CC492F" w:rsidRPr="000A55D3">
        <w:rPr>
          <w:rFonts w:ascii="Arial" w:hAnsi="Arial" w:cs="Arial"/>
          <w:b w:val="0"/>
          <w:bCs w:val="0"/>
          <w:szCs w:val="24"/>
        </w:rPr>
        <w:t xml:space="preserve">Jewish households, and higher than the percentage </w:t>
      </w:r>
      <w:r w:rsidR="00DD65A2">
        <w:rPr>
          <w:rFonts w:ascii="Arial" w:hAnsi="Arial" w:cs="Arial"/>
          <w:b w:val="0"/>
          <w:bCs w:val="0"/>
          <w:szCs w:val="24"/>
        </w:rPr>
        <w:t>among</w:t>
      </w:r>
      <w:r w:rsidR="00DD65A2" w:rsidRPr="000A55D3">
        <w:rPr>
          <w:rFonts w:ascii="Arial" w:hAnsi="Arial" w:cs="Arial"/>
          <w:b w:val="0"/>
          <w:bCs w:val="0"/>
          <w:szCs w:val="24"/>
        </w:rPr>
        <w:t xml:space="preserve"> </w:t>
      </w:r>
      <w:r w:rsidR="00CC492F" w:rsidRPr="000A55D3">
        <w:rPr>
          <w:rFonts w:ascii="Arial" w:hAnsi="Arial" w:cs="Arial"/>
          <w:b w:val="0"/>
          <w:bCs w:val="0"/>
          <w:szCs w:val="24"/>
        </w:rPr>
        <w:t>Moslem households, which was only</w:t>
      </w:r>
      <w:r w:rsidR="00F354E9">
        <w:rPr>
          <w:rFonts w:ascii="Arial" w:hAnsi="Arial" w:cs="Arial"/>
          <w:b w:val="0"/>
          <w:bCs w:val="0"/>
          <w:szCs w:val="24"/>
        </w:rPr>
        <w:t xml:space="preserve"> about</w:t>
      </w:r>
      <w:r w:rsidR="00CC492F" w:rsidRPr="000A55D3">
        <w:rPr>
          <w:rFonts w:ascii="Arial" w:hAnsi="Arial" w:cs="Arial"/>
          <w:b w:val="0"/>
          <w:bCs w:val="0"/>
          <w:szCs w:val="24"/>
        </w:rPr>
        <w:t xml:space="preserve"> </w:t>
      </w:r>
      <w:r w:rsidR="00BD2F4A">
        <w:rPr>
          <w:rFonts w:ascii="Arial" w:hAnsi="Arial" w:cs="Arial"/>
          <w:b w:val="0"/>
          <w:bCs w:val="0"/>
          <w:szCs w:val="24"/>
        </w:rPr>
        <w:t>7</w:t>
      </w:r>
      <w:r w:rsidR="00CC492F" w:rsidRPr="000A55D3">
        <w:rPr>
          <w:rFonts w:ascii="Arial" w:hAnsi="Arial" w:cs="Arial"/>
          <w:b w:val="0"/>
          <w:bCs w:val="0"/>
          <w:szCs w:val="24"/>
        </w:rPr>
        <w:t>%</w:t>
      </w:r>
      <w:r w:rsidRPr="000A55D3">
        <w:rPr>
          <w:rFonts w:ascii="Arial" w:hAnsi="Arial" w:cs="Arial"/>
          <w:b w:val="0"/>
          <w:bCs w:val="0"/>
          <w:szCs w:val="24"/>
        </w:rPr>
        <w:t xml:space="preserve">. </w:t>
      </w:r>
    </w:p>
    <w:p w14:paraId="37E6043C" w14:textId="4F47E633" w:rsidR="004E6B0E" w:rsidRPr="000A55D3" w:rsidRDefault="004E6B0E" w:rsidP="00BD2F4A">
      <w:pPr>
        <w:bidi w:val="0"/>
        <w:spacing w:after="120" w:line="360" w:lineRule="auto"/>
        <w:rPr>
          <w:rFonts w:ascii="Arial" w:hAnsi="Arial" w:cs="Arial"/>
          <w:b w:val="0"/>
          <w:bCs w:val="0"/>
          <w:szCs w:val="24"/>
        </w:rPr>
      </w:pPr>
      <w:r w:rsidRPr="000A55D3">
        <w:rPr>
          <w:rFonts w:ascii="Arial" w:hAnsi="Arial" w:cs="Arial"/>
          <w:b w:val="0"/>
          <w:bCs w:val="0"/>
          <w:szCs w:val="24"/>
        </w:rPr>
        <w:t xml:space="preserve">Approximately </w:t>
      </w:r>
      <w:r w:rsidR="00891892">
        <w:rPr>
          <w:rFonts w:ascii="Arial" w:hAnsi="Arial" w:cs="Arial"/>
          <w:b w:val="0"/>
          <w:bCs w:val="0"/>
          <w:szCs w:val="24"/>
        </w:rPr>
        <w:t>7</w:t>
      </w:r>
      <w:r w:rsidRPr="000A55D3">
        <w:rPr>
          <w:rFonts w:ascii="Arial" w:hAnsi="Arial" w:cs="Arial"/>
          <w:b w:val="0"/>
          <w:bCs w:val="0"/>
          <w:szCs w:val="24"/>
        </w:rPr>
        <w:t xml:space="preserve">% of </w:t>
      </w:r>
      <w:r w:rsidR="003D76CE" w:rsidRPr="000A55D3">
        <w:rPr>
          <w:rFonts w:ascii="Arial" w:hAnsi="Arial" w:cs="Arial"/>
          <w:b w:val="0"/>
          <w:bCs w:val="0"/>
          <w:szCs w:val="24"/>
        </w:rPr>
        <w:t xml:space="preserve">the </w:t>
      </w:r>
      <w:r w:rsidRPr="000A55D3">
        <w:rPr>
          <w:rFonts w:ascii="Arial" w:hAnsi="Arial" w:cs="Arial"/>
          <w:b w:val="0"/>
          <w:bCs w:val="0"/>
          <w:szCs w:val="24"/>
        </w:rPr>
        <w:t>households headed by a Christian consisted of 6 or more persons</w:t>
      </w:r>
      <w:r w:rsidR="00982E59">
        <w:rPr>
          <w:rFonts w:ascii="Arial" w:hAnsi="Arial" w:cs="Arial"/>
          <w:b w:val="0"/>
          <w:bCs w:val="0"/>
          <w:szCs w:val="24"/>
        </w:rPr>
        <w:t xml:space="preserve">, slightly less than </w:t>
      </w:r>
      <w:r w:rsidR="00DD65A2">
        <w:rPr>
          <w:rFonts w:ascii="Arial" w:hAnsi="Arial" w:cs="Arial"/>
          <w:b w:val="0"/>
          <w:bCs w:val="0"/>
          <w:szCs w:val="24"/>
        </w:rPr>
        <w:t xml:space="preserve">among </w:t>
      </w:r>
      <w:r w:rsidR="00982E59">
        <w:rPr>
          <w:rFonts w:ascii="Arial" w:hAnsi="Arial" w:cs="Arial"/>
          <w:b w:val="0"/>
          <w:bCs w:val="0"/>
          <w:szCs w:val="24"/>
        </w:rPr>
        <w:t>households headed by a Jew (about 9%)</w:t>
      </w:r>
      <w:r w:rsidR="00C54E17">
        <w:rPr>
          <w:rFonts w:ascii="Arial" w:hAnsi="Arial" w:cs="Arial"/>
          <w:b w:val="0"/>
          <w:bCs w:val="0"/>
          <w:szCs w:val="24"/>
        </w:rPr>
        <w:t>,</w:t>
      </w:r>
      <w:r w:rsidRPr="000A55D3">
        <w:rPr>
          <w:rFonts w:ascii="Arial" w:hAnsi="Arial" w:cs="Arial"/>
          <w:b w:val="0"/>
          <w:bCs w:val="0"/>
          <w:szCs w:val="24"/>
        </w:rPr>
        <w:t xml:space="preserve"> </w:t>
      </w:r>
      <w:r w:rsidR="00DD65A2">
        <w:rPr>
          <w:rFonts w:ascii="Arial" w:hAnsi="Arial" w:cs="Arial"/>
          <w:b w:val="0"/>
          <w:bCs w:val="0"/>
          <w:szCs w:val="24"/>
        </w:rPr>
        <w:t>compared to</w:t>
      </w:r>
      <w:r w:rsidR="00DD65A2" w:rsidRPr="000A55D3">
        <w:rPr>
          <w:rFonts w:ascii="Arial" w:hAnsi="Arial" w:cs="Arial"/>
          <w:b w:val="0"/>
          <w:bCs w:val="0"/>
          <w:szCs w:val="24"/>
        </w:rPr>
        <w:t xml:space="preserve"> </w:t>
      </w:r>
      <w:r w:rsidR="00FD57BB" w:rsidRPr="000A55D3">
        <w:rPr>
          <w:rFonts w:ascii="Arial" w:hAnsi="Arial" w:cs="Arial"/>
          <w:b w:val="0"/>
          <w:bCs w:val="0"/>
          <w:szCs w:val="24"/>
        </w:rPr>
        <w:t xml:space="preserve">approximately </w:t>
      </w:r>
      <w:r w:rsidR="00BD2F4A">
        <w:rPr>
          <w:rFonts w:ascii="Arial" w:hAnsi="Arial" w:cs="Arial"/>
          <w:b w:val="0"/>
          <w:bCs w:val="0"/>
          <w:szCs w:val="24"/>
        </w:rPr>
        <w:t>29</w:t>
      </w:r>
      <w:r w:rsidRPr="000A55D3">
        <w:rPr>
          <w:rFonts w:ascii="Arial" w:hAnsi="Arial" w:cs="Arial"/>
          <w:b w:val="0"/>
          <w:bCs w:val="0"/>
          <w:szCs w:val="24"/>
        </w:rPr>
        <w:t xml:space="preserve">% </w:t>
      </w:r>
      <w:r w:rsidR="00FD57BB" w:rsidRPr="000A55D3">
        <w:rPr>
          <w:rFonts w:ascii="Arial" w:hAnsi="Arial" w:cs="Arial"/>
          <w:b w:val="0"/>
          <w:bCs w:val="0"/>
          <w:szCs w:val="24"/>
        </w:rPr>
        <w:t>of the</w:t>
      </w:r>
      <w:r w:rsidRPr="000A55D3">
        <w:rPr>
          <w:rFonts w:ascii="Arial" w:hAnsi="Arial" w:cs="Arial"/>
          <w:b w:val="0"/>
          <w:bCs w:val="0"/>
          <w:szCs w:val="24"/>
        </w:rPr>
        <w:t xml:space="preserve"> households headed by a Moslem.</w:t>
      </w:r>
    </w:p>
    <w:p w14:paraId="0E3D3370" w14:textId="77777777" w:rsidR="004E6B0E" w:rsidRPr="000A55D3" w:rsidRDefault="004E6B0E" w:rsidP="00341B18">
      <w:pPr>
        <w:bidi w:val="0"/>
        <w:spacing w:after="120" w:line="360" w:lineRule="auto"/>
        <w:rPr>
          <w:rFonts w:ascii="Arial" w:hAnsi="Arial" w:cs="Arial"/>
          <w:b w:val="0"/>
          <w:bCs w:val="0"/>
          <w:szCs w:val="24"/>
        </w:rPr>
      </w:pPr>
      <w:r w:rsidRPr="000A55D3">
        <w:rPr>
          <w:rFonts w:ascii="Arial" w:hAnsi="Arial" w:cs="Arial"/>
          <w:b w:val="0"/>
          <w:bCs w:val="0"/>
          <w:szCs w:val="24"/>
        </w:rPr>
        <w:t>There</w:t>
      </w:r>
      <w:r w:rsidR="00EE0065" w:rsidRPr="000A55D3">
        <w:rPr>
          <w:rFonts w:ascii="Arial" w:hAnsi="Arial" w:cs="Arial"/>
          <w:b w:val="0"/>
          <w:bCs w:val="0"/>
          <w:szCs w:val="24"/>
        </w:rPr>
        <w:t xml:space="preserve"> we</w:t>
      </w:r>
      <w:r w:rsidRPr="000A55D3">
        <w:rPr>
          <w:rFonts w:ascii="Arial" w:hAnsi="Arial" w:cs="Arial"/>
          <w:b w:val="0"/>
          <w:bCs w:val="0"/>
          <w:szCs w:val="24"/>
        </w:rPr>
        <w:t>re approximately 5</w:t>
      </w:r>
      <w:r w:rsidR="00D135A5">
        <w:rPr>
          <w:rFonts w:ascii="Arial" w:hAnsi="Arial" w:cs="Arial"/>
          <w:b w:val="0"/>
          <w:bCs w:val="0"/>
          <w:szCs w:val="24"/>
        </w:rPr>
        <w:t>1</w:t>
      </w:r>
      <w:r w:rsidRPr="000A55D3">
        <w:rPr>
          <w:rFonts w:ascii="Arial" w:hAnsi="Arial" w:cs="Arial"/>
          <w:b w:val="0"/>
          <w:bCs w:val="0"/>
          <w:szCs w:val="24"/>
        </w:rPr>
        <w:t>,000 Christian families in Israel. Th</w:t>
      </w:r>
      <w:r w:rsidR="002637C6" w:rsidRPr="000A55D3">
        <w:rPr>
          <w:rFonts w:ascii="Arial" w:hAnsi="Arial" w:cs="Arial"/>
          <w:b w:val="0"/>
          <w:bCs w:val="0"/>
          <w:szCs w:val="24"/>
        </w:rPr>
        <w:t>e distribution of Christian families by type of family differed from that</w:t>
      </w:r>
      <w:r w:rsidRPr="000A55D3">
        <w:rPr>
          <w:rFonts w:ascii="Arial" w:hAnsi="Arial" w:cs="Arial"/>
          <w:b w:val="0"/>
          <w:bCs w:val="0"/>
          <w:szCs w:val="24"/>
        </w:rPr>
        <w:t xml:space="preserve"> among Jewish families</w:t>
      </w:r>
      <w:r w:rsidR="002637C6" w:rsidRPr="000A55D3">
        <w:rPr>
          <w:rFonts w:ascii="Arial" w:hAnsi="Arial" w:cs="Arial"/>
          <w:b w:val="0"/>
          <w:bCs w:val="0"/>
          <w:szCs w:val="24"/>
        </w:rPr>
        <w:t>, and</w:t>
      </w:r>
      <w:r w:rsidRPr="000A55D3">
        <w:rPr>
          <w:rFonts w:ascii="Arial" w:hAnsi="Arial" w:cs="Arial"/>
          <w:b w:val="0"/>
          <w:bCs w:val="0"/>
          <w:szCs w:val="24"/>
        </w:rPr>
        <w:t xml:space="preserve"> </w:t>
      </w:r>
      <w:r w:rsidR="002D7749" w:rsidRPr="000A55D3">
        <w:rPr>
          <w:rFonts w:ascii="Arial" w:hAnsi="Arial" w:cs="Arial"/>
          <w:b w:val="0"/>
          <w:bCs w:val="0"/>
          <w:szCs w:val="24"/>
        </w:rPr>
        <w:t>differed even more from that among Moslem families</w:t>
      </w:r>
      <w:r w:rsidR="0037306C" w:rsidRPr="000A55D3">
        <w:rPr>
          <w:rFonts w:ascii="Arial" w:hAnsi="Arial" w:cs="Arial"/>
          <w:b w:val="0"/>
          <w:bCs w:val="0"/>
          <w:szCs w:val="24"/>
        </w:rPr>
        <w:t>.</w:t>
      </w:r>
    </w:p>
    <w:p w14:paraId="5CEB07A8" w14:textId="3AE63945" w:rsidR="00AB6B2B" w:rsidRDefault="00AB6B2B" w:rsidP="00BD2F4A">
      <w:pPr>
        <w:pStyle w:val="diagramheading"/>
        <w:spacing w:after="0"/>
      </w:pPr>
      <w:r w:rsidRPr="001348BA">
        <w:t xml:space="preserve">Diagram </w:t>
      </w:r>
      <w:r w:rsidR="00BD2F4A" w:rsidRPr="001348BA">
        <w:t>6</w:t>
      </w:r>
      <w:r w:rsidR="00A11C6D" w:rsidRPr="001348BA">
        <w:t xml:space="preserve"> -</w:t>
      </w:r>
      <w:r w:rsidRPr="001348BA">
        <w:t xml:space="preserve"> Families by Type of Family: Jews, Moslems, and Christians, 20</w:t>
      </w:r>
      <w:r w:rsidR="00BD2F4A" w:rsidRPr="001348BA">
        <w:t>20</w:t>
      </w:r>
    </w:p>
    <w:p w14:paraId="3F91AC2C" w14:textId="02BD70C9" w:rsidR="00C2240A" w:rsidRDefault="00DD25C4" w:rsidP="00291034">
      <w:pPr>
        <w:pStyle w:val="center"/>
        <w:spacing w:after="0"/>
      </w:pPr>
      <w:r>
        <w:drawing>
          <wp:inline distT="0" distB="0" distL="0" distR="0" wp14:anchorId="70AA3BEA" wp14:editId="6DA43184">
            <wp:extent cx="5631180" cy="3177540"/>
            <wp:effectExtent l="0" t="0" r="7620" b="3810"/>
            <wp:docPr id="1" name="תמונה 1" descr="Diagram 6 - Families by Type of Family: Jews, Moslems, and Christians, 2020" title="Diagram 6 - Families by Type of Family: Jews, Moslems, and Christian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1180" cy="3177540"/>
                    </a:xfrm>
                    <a:prstGeom prst="rect">
                      <a:avLst/>
                    </a:prstGeom>
                    <a:noFill/>
                  </pic:spPr>
                </pic:pic>
              </a:graphicData>
            </a:graphic>
          </wp:inline>
        </w:drawing>
      </w:r>
    </w:p>
    <w:p w14:paraId="097E453C" w14:textId="4C32D11C" w:rsidR="00625443" w:rsidRPr="005F3051" w:rsidRDefault="00F53CFF" w:rsidP="00291034">
      <w:pPr>
        <w:pStyle w:val="text1"/>
        <w:numPr>
          <w:ilvl w:val="0"/>
          <w:numId w:val="39"/>
        </w:numPr>
        <w:spacing w:after="240"/>
        <w:ind w:left="714" w:hanging="357"/>
      </w:pPr>
      <w:r w:rsidRPr="005F3051">
        <w:t>Incl. families of siblings who live together, without spouses and without children; and a grandparent with grandchildren, without the children’s parents.</w:t>
      </w:r>
      <w:r w:rsidR="00625443" w:rsidRPr="005F3051">
        <w:t xml:space="preserve">; the range of data is 1%-2%. </w:t>
      </w:r>
    </w:p>
    <w:p w14:paraId="5286DC4A" w14:textId="4BC08FF1" w:rsidR="00DA6AC2" w:rsidRPr="00557E19" w:rsidRDefault="00DA6AC2" w:rsidP="00291034">
      <w:pPr>
        <w:pStyle w:val="text1"/>
        <w:spacing w:before="120"/>
      </w:pPr>
      <w:r>
        <w:t>The average number of children up to age 17 in Christian families with children up to that age was 1.</w:t>
      </w:r>
      <w:r w:rsidR="00047D6D">
        <w:t>93</w:t>
      </w:r>
      <w:r w:rsidR="00C14A4F">
        <w:t>. Of the</w:t>
      </w:r>
      <w:r w:rsidR="00AF2301">
        <w:t>se Christian families</w:t>
      </w:r>
      <w:r w:rsidR="00C14A4F">
        <w:t xml:space="preserve">, the average number in Arab Christian families was </w:t>
      </w:r>
      <w:r w:rsidR="00047D6D">
        <w:rPr>
          <w:rFonts w:hint="cs"/>
          <w:rtl/>
        </w:rPr>
        <w:t>2</w:t>
      </w:r>
      <w:r w:rsidR="00C14A4F">
        <w:t>.</w:t>
      </w:r>
      <w:r w:rsidR="00047D6D">
        <w:rPr>
          <w:rFonts w:hint="cs"/>
          <w:rtl/>
        </w:rPr>
        <w:t>04</w:t>
      </w:r>
      <w:r w:rsidR="00C14A4F">
        <w:t xml:space="preserve">. </w:t>
      </w:r>
      <w:r w:rsidR="00727351">
        <w:t xml:space="preserve">These </w:t>
      </w:r>
      <w:r w:rsidR="00B24AB1">
        <w:t>figures are lower compared to Jewish families (2.4</w:t>
      </w:r>
      <w:r w:rsidR="00047D6D">
        <w:rPr>
          <w:rFonts w:hint="cs"/>
          <w:rtl/>
        </w:rPr>
        <w:t>3</w:t>
      </w:r>
      <w:r w:rsidR="00B24AB1">
        <w:t>) and compared to Moslem families (2.6</w:t>
      </w:r>
      <w:r w:rsidR="00047D6D">
        <w:rPr>
          <w:rFonts w:hint="cs"/>
          <w:rtl/>
        </w:rPr>
        <w:t>0</w:t>
      </w:r>
      <w:r w:rsidR="00B24AB1">
        <w:t>).</w:t>
      </w:r>
    </w:p>
    <w:p w14:paraId="1ABDE797" w14:textId="77777777" w:rsidR="00ED0D6D" w:rsidRPr="000A55D3" w:rsidRDefault="00510EB3" w:rsidP="00636749">
      <w:pPr>
        <w:pStyle w:val="Heading2"/>
      </w:pPr>
      <w:r w:rsidRPr="000A55D3">
        <w:t>Education</w:t>
      </w:r>
    </w:p>
    <w:p w14:paraId="026A4421" w14:textId="2AEC3D73" w:rsidR="003C4D54" w:rsidRPr="008C337D" w:rsidRDefault="00510EB3" w:rsidP="00047D6D">
      <w:pPr>
        <w:pStyle w:val="Heading3"/>
      </w:pPr>
      <w:r w:rsidRPr="008C337D">
        <w:t>Students in the</w:t>
      </w:r>
      <w:r w:rsidR="003C4D54" w:rsidRPr="008C337D">
        <w:t xml:space="preserve"> Education</w:t>
      </w:r>
      <w:r w:rsidRPr="008C337D">
        <w:t xml:space="preserve"> System</w:t>
      </w:r>
      <w:r w:rsidR="003C4D54" w:rsidRPr="008C337D">
        <w:t xml:space="preserve"> (School Year </w:t>
      </w:r>
      <w:r w:rsidR="008C337D" w:rsidRPr="008C337D">
        <w:t>20</w:t>
      </w:r>
      <w:r w:rsidR="00047D6D">
        <w:rPr>
          <w:rFonts w:hint="cs"/>
          <w:rtl/>
        </w:rPr>
        <w:t>20</w:t>
      </w:r>
      <w:r w:rsidR="008C337D" w:rsidRPr="008C337D">
        <w:t>/2</w:t>
      </w:r>
      <w:r w:rsidR="00047D6D">
        <w:rPr>
          <w:rFonts w:hint="cs"/>
          <w:rtl/>
        </w:rPr>
        <w:t>1</w:t>
      </w:r>
      <w:r w:rsidR="003C4D54" w:rsidRPr="008C337D">
        <w:t>)</w:t>
      </w:r>
    </w:p>
    <w:p w14:paraId="41C46946" w14:textId="2C92C171" w:rsidR="00897797" w:rsidRPr="000A55D3" w:rsidRDefault="003C4D54" w:rsidP="00DD25C4">
      <w:pPr>
        <w:bidi w:val="0"/>
        <w:spacing w:after="120" w:line="360" w:lineRule="auto"/>
        <w:rPr>
          <w:rFonts w:ascii="Arial" w:hAnsi="Arial" w:cs="Arial"/>
          <w:b w:val="0"/>
          <w:bCs w:val="0"/>
          <w:szCs w:val="24"/>
        </w:rPr>
      </w:pPr>
      <w:r w:rsidRPr="000A55D3">
        <w:rPr>
          <w:rFonts w:ascii="Arial" w:hAnsi="Arial" w:cs="Arial"/>
          <w:b w:val="0"/>
          <w:bCs w:val="0"/>
          <w:szCs w:val="24"/>
        </w:rPr>
        <w:t>In the 20</w:t>
      </w:r>
      <w:r w:rsidR="00047D6D">
        <w:rPr>
          <w:rFonts w:ascii="Arial" w:hAnsi="Arial" w:cs="Arial" w:hint="cs"/>
          <w:b w:val="0"/>
          <w:bCs w:val="0"/>
          <w:szCs w:val="24"/>
          <w:rtl/>
        </w:rPr>
        <w:t>20</w:t>
      </w:r>
      <w:r w:rsidRPr="000A55D3">
        <w:rPr>
          <w:rFonts w:ascii="Arial" w:hAnsi="Arial" w:cs="Arial"/>
          <w:b w:val="0"/>
          <w:bCs w:val="0"/>
          <w:szCs w:val="24"/>
        </w:rPr>
        <w:t>/</w:t>
      </w:r>
      <w:r w:rsidR="00FB1BC5">
        <w:rPr>
          <w:rFonts w:ascii="Arial" w:hAnsi="Arial" w:cs="Arial"/>
          <w:b w:val="0"/>
          <w:bCs w:val="0"/>
          <w:szCs w:val="24"/>
        </w:rPr>
        <w:t>2</w:t>
      </w:r>
      <w:r w:rsidR="00DD25C4">
        <w:rPr>
          <w:rFonts w:ascii="Arial" w:hAnsi="Arial" w:cs="Arial"/>
          <w:b w:val="0"/>
          <w:bCs w:val="0"/>
          <w:szCs w:val="24"/>
        </w:rPr>
        <w:t>1</w:t>
      </w:r>
      <w:r w:rsidR="00CB160D">
        <w:rPr>
          <w:rFonts w:ascii="Arial" w:hAnsi="Arial" w:cs="Arial"/>
          <w:b w:val="0"/>
          <w:bCs w:val="0"/>
          <w:szCs w:val="24"/>
        </w:rPr>
        <w:t xml:space="preserve"> </w:t>
      </w:r>
      <w:r w:rsidR="00CB160D" w:rsidRPr="000A55D3">
        <w:rPr>
          <w:rFonts w:ascii="Arial" w:hAnsi="Arial" w:cs="Arial"/>
          <w:b w:val="0"/>
          <w:bCs w:val="0"/>
          <w:szCs w:val="24"/>
        </w:rPr>
        <w:t>school year</w:t>
      </w:r>
      <w:r w:rsidRPr="000A55D3">
        <w:rPr>
          <w:rFonts w:ascii="Arial" w:hAnsi="Arial" w:cs="Arial"/>
          <w:b w:val="0"/>
          <w:bCs w:val="0"/>
          <w:szCs w:val="24"/>
        </w:rPr>
        <w:t>, there were</w:t>
      </w:r>
      <w:r w:rsidR="00657A49">
        <w:rPr>
          <w:rFonts w:ascii="Arial" w:hAnsi="Arial" w:cs="Arial"/>
          <w:b w:val="0"/>
          <w:bCs w:val="0"/>
          <w:szCs w:val="24"/>
        </w:rPr>
        <w:t xml:space="preserve"> 2</w:t>
      </w:r>
      <w:r w:rsidR="00047D6D">
        <w:rPr>
          <w:rFonts w:ascii="Arial" w:hAnsi="Arial" w:cs="Arial" w:hint="cs"/>
          <w:b w:val="0"/>
          <w:bCs w:val="0"/>
          <w:szCs w:val="24"/>
          <w:rtl/>
        </w:rPr>
        <w:t>7</w:t>
      </w:r>
      <w:r w:rsidR="00657A49">
        <w:rPr>
          <w:rFonts w:ascii="Arial" w:hAnsi="Arial" w:cs="Arial"/>
          <w:b w:val="0"/>
          <w:bCs w:val="0"/>
          <w:szCs w:val="24"/>
        </w:rPr>
        <w:t>,</w:t>
      </w:r>
      <w:r w:rsidR="00047D6D">
        <w:rPr>
          <w:rFonts w:ascii="Arial" w:hAnsi="Arial" w:cs="Arial" w:hint="cs"/>
          <w:b w:val="0"/>
          <w:bCs w:val="0"/>
          <w:szCs w:val="24"/>
          <w:rtl/>
        </w:rPr>
        <w:t>044</w:t>
      </w:r>
      <w:r w:rsidRPr="000A55D3">
        <w:rPr>
          <w:rFonts w:ascii="Arial" w:hAnsi="Arial" w:cs="Arial"/>
          <w:b w:val="0"/>
          <w:bCs w:val="0"/>
          <w:szCs w:val="24"/>
        </w:rPr>
        <w:t xml:space="preserve"> Christian </w:t>
      </w:r>
      <w:r w:rsidR="00AF2301">
        <w:rPr>
          <w:rFonts w:ascii="Arial" w:hAnsi="Arial" w:cs="Arial"/>
          <w:b w:val="0"/>
          <w:bCs w:val="0"/>
          <w:szCs w:val="24"/>
        </w:rPr>
        <w:t>student</w:t>
      </w:r>
      <w:r w:rsidRPr="000A55D3">
        <w:rPr>
          <w:rFonts w:ascii="Arial" w:hAnsi="Arial" w:cs="Arial"/>
          <w:b w:val="0"/>
          <w:bCs w:val="0"/>
          <w:szCs w:val="24"/>
        </w:rPr>
        <w:t xml:space="preserve">s in primary and </w:t>
      </w:r>
      <w:r w:rsidR="00AF2301">
        <w:rPr>
          <w:rFonts w:ascii="Arial" w:hAnsi="Arial" w:cs="Arial"/>
          <w:b w:val="0"/>
          <w:bCs w:val="0"/>
          <w:szCs w:val="24"/>
        </w:rPr>
        <w:t>second</w:t>
      </w:r>
      <w:r w:rsidR="005578F7">
        <w:rPr>
          <w:rFonts w:ascii="Arial" w:hAnsi="Arial" w:cs="Arial"/>
          <w:b w:val="0"/>
          <w:bCs w:val="0"/>
          <w:szCs w:val="24"/>
        </w:rPr>
        <w:t>ary</w:t>
      </w:r>
      <w:r w:rsidRPr="000A55D3">
        <w:rPr>
          <w:rFonts w:ascii="Arial" w:hAnsi="Arial" w:cs="Arial"/>
          <w:b w:val="0"/>
          <w:bCs w:val="0"/>
          <w:szCs w:val="24"/>
        </w:rPr>
        <w:t xml:space="preserve"> school, comp</w:t>
      </w:r>
      <w:r w:rsidR="00510EB3" w:rsidRPr="000A55D3">
        <w:rPr>
          <w:rFonts w:ascii="Arial" w:hAnsi="Arial" w:cs="Arial"/>
          <w:b w:val="0"/>
          <w:bCs w:val="0"/>
          <w:szCs w:val="24"/>
        </w:rPr>
        <w:t>rising 1.</w:t>
      </w:r>
      <w:r w:rsidR="00047D6D">
        <w:rPr>
          <w:rFonts w:ascii="Arial" w:hAnsi="Arial" w:cs="Arial" w:hint="cs"/>
          <w:b w:val="0"/>
          <w:bCs w:val="0"/>
          <w:szCs w:val="24"/>
          <w:rtl/>
        </w:rPr>
        <w:t>4</w:t>
      </w:r>
      <w:r w:rsidRPr="000A55D3">
        <w:rPr>
          <w:rFonts w:ascii="Arial" w:hAnsi="Arial" w:cs="Arial"/>
          <w:b w:val="0"/>
          <w:bCs w:val="0"/>
          <w:szCs w:val="24"/>
        </w:rPr>
        <w:t xml:space="preserve">% of all primary and </w:t>
      </w:r>
      <w:r w:rsidR="00AF2301">
        <w:rPr>
          <w:rFonts w:ascii="Arial" w:hAnsi="Arial" w:cs="Arial"/>
          <w:b w:val="0"/>
          <w:bCs w:val="0"/>
          <w:szCs w:val="24"/>
        </w:rPr>
        <w:t>second</w:t>
      </w:r>
      <w:r w:rsidR="00EC6BCC">
        <w:rPr>
          <w:rFonts w:ascii="Arial" w:hAnsi="Arial" w:cs="Arial"/>
          <w:b w:val="0"/>
          <w:bCs w:val="0"/>
          <w:szCs w:val="24"/>
        </w:rPr>
        <w:t>ary</w:t>
      </w:r>
      <w:r w:rsidRPr="000A55D3">
        <w:rPr>
          <w:rFonts w:ascii="Arial" w:hAnsi="Arial" w:cs="Arial"/>
          <w:b w:val="0"/>
          <w:bCs w:val="0"/>
          <w:szCs w:val="24"/>
        </w:rPr>
        <w:t xml:space="preserve"> school students. </w:t>
      </w:r>
      <w:r w:rsidR="00897797" w:rsidRPr="000A55D3">
        <w:rPr>
          <w:rFonts w:ascii="Arial" w:hAnsi="Arial" w:cs="Arial"/>
          <w:b w:val="0"/>
          <w:bCs w:val="0"/>
          <w:szCs w:val="24"/>
        </w:rPr>
        <w:t>This percentage was the same as in the school year 201</w:t>
      </w:r>
      <w:r w:rsidR="00047D6D">
        <w:rPr>
          <w:rFonts w:ascii="Arial" w:hAnsi="Arial" w:cs="Arial" w:hint="cs"/>
          <w:b w:val="0"/>
          <w:bCs w:val="0"/>
          <w:szCs w:val="24"/>
          <w:rtl/>
        </w:rPr>
        <w:t>9</w:t>
      </w:r>
      <w:r w:rsidR="001D553D">
        <w:rPr>
          <w:rFonts w:ascii="Arial" w:hAnsi="Arial" w:cs="Arial"/>
          <w:b w:val="0"/>
          <w:bCs w:val="0"/>
          <w:szCs w:val="24"/>
        </w:rPr>
        <w:t>/</w:t>
      </w:r>
      <w:r w:rsidR="00047D6D">
        <w:rPr>
          <w:rFonts w:ascii="Arial" w:hAnsi="Arial" w:cs="Arial" w:hint="cs"/>
          <w:b w:val="0"/>
          <w:bCs w:val="0"/>
          <w:szCs w:val="24"/>
          <w:rtl/>
        </w:rPr>
        <w:t>20</w:t>
      </w:r>
      <w:r w:rsidR="00897797" w:rsidRPr="000A55D3">
        <w:rPr>
          <w:rFonts w:ascii="Arial" w:hAnsi="Arial" w:cs="Arial"/>
          <w:b w:val="0"/>
          <w:bCs w:val="0"/>
          <w:szCs w:val="24"/>
        </w:rPr>
        <w:t xml:space="preserve"> (1.5%).</w:t>
      </w:r>
    </w:p>
    <w:p w14:paraId="2707809E" w14:textId="7E43E5E2" w:rsidR="003C4D54" w:rsidRPr="000A55D3" w:rsidRDefault="003C4D54" w:rsidP="00047D6D">
      <w:pPr>
        <w:bidi w:val="0"/>
        <w:spacing w:after="120" w:line="360" w:lineRule="auto"/>
        <w:rPr>
          <w:rFonts w:ascii="Arial" w:hAnsi="Arial" w:cs="Arial"/>
          <w:b w:val="0"/>
          <w:bCs w:val="0"/>
          <w:szCs w:val="24"/>
        </w:rPr>
      </w:pPr>
      <w:r w:rsidRPr="000A55D3">
        <w:rPr>
          <w:rFonts w:ascii="Arial" w:hAnsi="Arial" w:cs="Arial"/>
          <w:b w:val="0"/>
          <w:bCs w:val="0"/>
          <w:szCs w:val="24"/>
        </w:rPr>
        <w:t>The vast majority (8</w:t>
      </w:r>
      <w:r w:rsidR="00047D6D">
        <w:rPr>
          <w:rFonts w:ascii="Arial" w:hAnsi="Arial" w:cs="Arial" w:hint="cs"/>
          <w:b w:val="0"/>
          <w:bCs w:val="0"/>
          <w:szCs w:val="24"/>
          <w:rtl/>
        </w:rPr>
        <w:t>5</w:t>
      </w:r>
      <w:r w:rsidRPr="000A55D3">
        <w:rPr>
          <w:rFonts w:ascii="Arial" w:hAnsi="Arial" w:cs="Arial"/>
          <w:b w:val="0"/>
          <w:bCs w:val="0"/>
          <w:szCs w:val="24"/>
        </w:rPr>
        <w:t>.</w:t>
      </w:r>
      <w:r w:rsidR="00047D6D">
        <w:rPr>
          <w:rFonts w:ascii="Arial" w:hAnsi="Arial" w:cs="Arial" w:hint="cs"/>
          <w:b w:val="0"/>
          <w:bCs w:val="0"/>
          <w:szCs w:val="24"/>
          <w:rtl/>
        </w:rPr>
        <w:t>9</w:t>
      </w:r>
      <w:r w:rsidRPr="000A55D3">
        <w:rPr>
          <w:rFonts w:ascii="Arial" w:hAnsi="Arial" w:cs="Arial"/>
          <w:b w:val="0"/>
          <w:bCs w:val="0"/>
          <w:szCs w:val="24"/>
        </w:rPr>
        <w:t xml:space="preserve">%) of these </w:t>
      </w:r>
      <w:r w:rsidR="00AF2301">
        <w:rPr>
          <w:rFonts w:ascii="Arial" w:hAnsi="Arial" w:cs="Arial"/>
          <w:b w:val="0"/>
          <w:bCs w:val="0"/>
          <w:szCs w:val="24"/>
        </w:rPr>
        <w:t>student</w:t>
      </w:r>
      <w:r w:rsidRPr="000A55D3">
        <w:rPr>
          <w:rFonts w:ascii="Arial" w:hAnsi="Arial" w:cs="Arial"/>
          <w:b w:val="0"/>
          <w:bCs w:val="0"/>
          <w:szCs w:val="24"/>
        </w:rPr>
        <w:t xml:space="preserve">s were Arab. Christian </w:t>
      </w:r>
      <w:r w:rsidR="00AF2301">
        <w:rPr>
          <w:rFonts w:ascii="Arial" w:hAnsi="Arial" w:cs="Arial"/>
          <w:b w:val="0"/>
          <w:bCs w:val="0"/>
          <w:szCs w:val="24"/>
        </w:rPr>
        <w:t>student</w:t>
      </w:r>
      <w:r w:rsidRPr="000A55D3">
        <w:rPr>
          <w:rFonts w:ascii="Arial" w:hAnsi="Arial" w:cs="Arial"/>
          <w:b w:val="0"/>
          <w:bCs w:val="0"/>
          <w:szCs w:val="24"/>
        </w:rPr>
        <w:t>s comprise</w:t>
      </w:r>
      <w:r w:rsidR="003D76CE" w:rsidRPr="000A55D3">
        <w:rPr>
          <w:rFonts w:ascii="Arial" w:hAnsi="Arial" w:cs="Arial"/>
          <w:b w:val="0"/>
          <w:bCs w:val="0"/>
          <w:szCs w:val="24"/>
        </w:rPr>
        <w:t>d</w:t>
      </w:r>
      <w:r w:rsidRPr="000A55D3">
        <w:rPr>
          <w:rFonts w:ascii="Arial" w:hAnsi="Arial" w:cs="Arial"/>
          <w:b w:val="0"/>
          <w:bCs w:val="0"/>
          <w:szCs w:val="24"/>
        </w:rPr>
        <w:t xml:space="preserve"> </w:t>
      </w:r>
      <w:r w:rsidR="00897797" w:rsidRPr="000A55D3">
        <w:rPr>
          <w:rFonts w:ascii="Arial" w:hAnsi="Arial" w:cs="Arial"/>
          <w:b w:val="0"/>
          <w:bCs w:val="0"/>
          <w:szCs w:val="24"/>
        </w:rPr>
        <w:t xml:space="preserve">approximately </w:t>
      </w:r>
      <w:r w:rsidRPr="000A55D3">
        <w:rPr>
          <w:rFonts w:ascii="Arial" w:hAnsi="Arial" w:cs="Arial"/>
          <w:b w:val="0"/>
          <w:bCs w:val="0"/>
          <w:szCs w:val="24"/>
        </w:rPr>
        <w:t xml:space="preserve">5% of the </w:t>
      </w:r>
      <w:r w:rsidR="00AF2301">
        <w:rPr>
          <w:rFonts w:ascii="Arial" w:hAnsi="Arial" w:cs="Arial"/>
          <w:b w:val="0"/>
          <w:bCs w:val="0"/>
          <w:szCs w:val="24"/>
        </w:rPr>
        <w:t>student</w:t>
      </w:r>
      <w:r w:rsidRPr="000A55D3">
        <w:rPr>
          <w:rFonts w:ascii="Arial" w:hAnsi="Arial" w:cs="Arial"/>
          <w:b w:val="0"/>
          <w:bCs w:val="0"/>
          <w:szCs w:val="24"/>
        </w:rPr>
        <w:t>s in Arab education.</w:t>
      </w:r>
    </w:p>
    <w:p w14:paraId="65DE043D" w14:textId="605E9588" w:rsidR="003C4D54" w:rsidRPr="000A55D3" w:rsidRDefault="00C27E83" w:rsidP="00047D6D">
      <w:pPr>
        <w:bidi w:val="0"/>
        <w:spacing w:after="120" w:line="360" w:lineRule="auto"/>
        <w:rPr>
          <w:rFonts w:ascii="Arial" w:hAnsi="Arial" w:cs="Arial"/>
          <w:b w:val="0"/>
          <w:bCs w:val="0"/>
          <w:szCs w:val="24"/>
        </w:rPr>
      </w:pPr>
      <w:r>
        <w:rPr>
          <w:rFonts w:ascii="Arial" w:hAnsi="Arial" w:cs="Arial"/>
          <w:b w:val="0"/>
          <w:bCs w:val="0"/>
          <w:szCs w:val="24"/>
        </w:rPr>
        <w:t>That same year,</w:t>
      </w:r>
      <w:r w:rsidR="00D523A4" w:rsidRPr="000A55D3">
        <w:rPr>
          <w:rFonts w:ascii="Arial" w:hAnsi="Arial" w:cs="Arial"/>
          <w:b w:val="0"/>
          <w:bCs w:val="0"/>
          <w:szCs w:val="24"/>
        </w:rPr>
        <w:t xml:space="preserve"> there were </w:t>
      </w:r>
      <w:r w:rsidR="00F27428" w:rsidRPr="000A55D3">
        <w:rPr>
          <w:rFonts w:ascii="Arial" w:hAnsi="Arial" w:cs="Arial"/>
          <w:b w:val="0"/>
          <w:bCs w:val="0"/>
          <w:szCs w:val="24"/>
        </w:rPr>
        <w:t>1,</w:t>
      </w:r>
      <w:r w:rsidR="00047D6D">
        <w:rPr>
          <w:rFonts w:ascii="Arial" w:hAnsi="Arial" w:cs="Arial" w:hint="cs"/>
          <w:b w:val="0"/>
          <w:bCs w:val="0"/>
          <w:szCs w:val="24"/>
          <w:rtl/>
        </w:rPr>
        <w:t>903</w:t>
      </w:r>
      <w:r w:rsidR="003C4D54" w:rsidRPr="000A55D3">
        <w:rPr>
          <w:rFonts w:ascii="Arial" w:hAnsi="Arial" w:cs="Arial"/>
          <w:b w:val="0"/>
          <w:bCs w:val="0"/>
          <w:szCs w:val="24"/>
        </w:rPr>
        <w:t xml:space="preserve"> Christian </w:t>
      </w:r>
      <w:r w:rsidR="00AF2301">
        <w:rPr>
          <w:rFonts w:ascii="Arial" w:hAnsi="Arial" w:cs="Arial"/>
          <w:b w:val="0"/>
          <w:bCs w:val="0"/>
          <w:szCs w:val="24"/>
        </w:rPr>
        <w:t>student</w:t>
      </w:r>
      <w:r w:rsidR="003C4D54" w:rsidRPr="000A55D3">
        <w:rPr>
          <w:rFonts w:ascii="Arial" w:hAnsi="Arial" w:cs="Arial"/>
          <w:b w:val="0"/>
          <w:bCs w:val="0"/>
          <w:szCs w:val="24"/>
        </w:rPr>
        <w:t xml:space="preserve">s </w:t>
      </w:r>
      <w:r w:rsidR="00F27428" w:rsidRPr="000A55D3">
        <w:rPr>
          <w:rFonts w:ascii="Arial" w:hAnsi="Arial" w:cs="Arial"/>
          <w:b w:val="0"/>
          <w:bCs w:val="0"/>
          <w:szCs w:val="24"/>
        </w:rPr>
        <w:t>in</w:t>
      </w:r>
      <w:r w:rsidR="003C4D54" w:rsidRPr="000A55D3">
        <w:rPr>
          <w:rFonts w:ascii="Arial" w:hAnsi="Arial" w:cs="Arial"/>
          <w:b w:val="0"/>
          <w:bCs w:val="0"/>
          <w:szCs w:val="24"/>
        </w:rPr>
        <w:t xml:space="preserve"> first grade </w:t>
      </w:r>
      <w:r w:rsidR="00F27428" w:rsidRPr="000A55D3">
        <w:rPr>
          <w:rFonts w:ascii="Arial" w:hAnsi="Arial" w:cs="Arial"/>
          <w:b w:val="0"/>
          <w:bCs w:val="0"/>
          <w:szCs w:val="24"/>
        </w:rPr>
        <w:t xml:space="preserve">(Arab education) </w:t>
      </w:r>
      <w:r w:rsidR="003B3CDA">
        <w:rPr>
          <w:rFonts w:ascii="Arial" w:hAnsi="Arial" w:cs="Arial"/>
          <w:b w:val="0"/>
          <w:bCs w:val="0"/>
          <w:szCs w:val="24"/>
        </w:rPr>
        <w:t>–</w:t>
      </w:r>
      <w:r w:rsidR="003C4D54" w:rsidRPr="000A55D3">
        <w:rPr>
          <w:rFonts w:ascii="Arial" w:hAnsi="Arial" w:cs="Arial"/>
          <w:b w:val="0"/>
          <w:bCs w:val="0"/>
          <w:szCs w:val="24"/>
        </w:rPr>
        <w:t xml:space="preserve"> approximately </w:t>
      </w:r>
      <w:r w:rsidR="00047D6D">
        <w:rPr>
          <w:rFonts w:ascii="Arial" w:hAnsi="Arial" w:cs="Arial" w:hint="cs"/>
          <w:b w:val="0"/>
          <w:bCs w:val="0"/>
          <w:szCs w:val="24"/>
          <w:rtl/>
        </w:rPr>
        <w:t>5</w:t>
      </w:r>
      <w:r w:rsidR="00F27428" w:rsidRPr="000A55D3">
        <w:rPr>
          <w:rFonts w:ascii="Arial" w:hAnsi="Arial" w:cs="Arial"/>
          <w:b w:val="0"/>
          <w:bCs w:val="0"/>
          <w:szCs w:val="24"/>
        </w:rPr>
        <w:t xml:space="preserve">% of </w:t>
      </w:r>
      <w:r w:rsidR="00D523A4" w:rsidRPr="000A55D3">
        <w:rPr>
          <w:rFonts w:ascii="Arial" w:hAnsi="Arial" w:cs="Arial"/>
          <w:b w:val="0"/>
          <w:bCs w:val="0"/>
          <w:szCs w:val="24"/>
        </w:rPr>
        <w:t>all</w:t>
      </w:r>
      <w:r w:rsidR="008E25F6">
        <w:rPr>
          <w:rFonts w:ascii="Arial" w:hAnsi="Arial" w:cs="Arial"/>
          <w:b w:val="0"/>
          <w:bCs w:val="0"/>
          <w:szCs w:val="24"/>
        </w:rPr>
        <w:t xml:space="preserve"> first-</w:t>
      </w:r>
      <w:r w:rsidR="00F27428" w:rsidRPr="000A55D3">
        <w:rPr>
          <w:rFonts w:ascii="Arial" w:hAnsi="Arial" w:cs="Arial"/>
          <w:b w:val="0"/>
          <w:bCs w:val="0"/>
          <w:szCs w:val="24"/>
        </w:rPr>
        <w:t>graders in Arab education</w:t>
      </w:r>
      <w:r w:rsidR="003C4D54" w:rsidRPr="000A55D3">
        <w:rPr>
          <w:rFonts w:ascii="Arial" w:hAnsi="Arial" w:cs="Arial"/>
          <w:b w:val="0"/>
          <w:bCs w:val="0"/>
          <w:szCs w:val="24"/>
        </w:rPr>
        <w:t>.</w:t>
      </w:r>
    </w:p>
    <w:p w14:paraId="11558602" w14:textId="17B33B46" w:rsidR="003C4D54" w:rsidRDefault="003C4D54" w:rsidP="00047D6D">
      <w:pPr>
        <w:bidi w:val="0"/>
        <w:spacing w:after="120" w:line="360" w:lineRule="auto"/>
        <w:rPr>
          <w:rFonts w:ascii="Arial" w:hAnsi="Arial" w:cs="Arial"/>
          <w:b w:val="0"/>
          <w:bCs w:val="0"/>
          <w:szCs w:val="24"/>
        </w:rPr>
      </w:pPr>
      <w:r w:rsidRPr="000A55D3">
        <w:rPr>
          <w:rFonts w:ascii="Arial" w:hAnsi="Arial" w:cs="Arial"/>
          <w:b w:val="0"/>
          <w:bCs w:val="0"/>
          <w:szCs w:val="24"/>
        </w:rPr>
        <w:t xml:space="preserve">Among Christian upper secondary education </w:t>
      </w:r>
      <w:r w:rsidR="00AF2301">
        <w:rPr>
          <w:rFonts w:ascii="Arial" w:hAnsi="Arial" w:cs="Arial"/>
          <w:b w:val="0"/>
          <w:bCs w:val="0"/>
          <w:szCs w:val="24"/>
        </w:rPr>
        <w:t>student</w:t>
      </w:r>
      <w:r w:rsidRPr="000A55D3">
        <w:rPr>
          <w:rFonts w:ascii="Arial" w:hAnsi="Arial" w:cs="Arial"/>
          <w:b w:val="0"/>
          <w:bCs w:val="0"/>
          <w:szCs w:val="24"/>
        </w:rPr>
        <w:t>s</w:t>
      </w:r>
      <w:r w:rsidR="00573911" w:rsidRPr="000A55D3">
        <w:rPr>
          <w:rFonts w:ascii="Arial" w:hAnsi="Arial" w:cs="Arial"/>
          <w:b w:val="0"/>
          <w:bCs w:val="0"/>
          <w:szCs w:val="24"/>
        </w:rPr>
        <w:t xml:space="preserve"> (Arab education)</w:t>
      </w:r>
      <w:r w:rsidRPr="000A55D3">
        <w:rPr>
          <w:rFonts w:ascii="Arial" w:hAnsi="Arial" w:cs="Arial"/>
          <w:b w:val="0"/>
          <w:bCs w:val="0"/>
          <w:szCs w:val="24"/>
        </w:rPr>
        <w:t xml:space="preserve">, </w:t>
      </w:r>
      <w:r w:rsidR="00D523A4" w:rsidRPr="000A55D3">
        <w:rPr>
          <w:rFonts w:ascii="Arial" w:hAnsi="Arial" w:cs="Arial"/>
          <w:b w:val="0"/>
          <w:bCs w:val="0"/>
          <w:szCs w:val="24"/>
        </w:rPr>
        <w:t>4</w:t>
      </w:r>
      <w:r w:rsidR="00047D6D">
        <w:rPr>
          <w:rFonts w:ascii="Arial" w:hAnsi="Arial" w:cs="Arial" w:hint="cs"/>
          <w:b w:val="0"/>
          <w:bCs w:val="0"/>
          <w:szCs w:val="24"/>
          <w:rtl/>
        </w:rPr>
        <w:t>2</w:t>
      </w:r>
      <w:r w:rsidRPr="000A55D3">
        <w:rPr>
          <w:rFonts w:ascii="Arial" w:hAnsi="Arial" w:cs="Arial"/>
          <w:b w:val="0"/>
          <w:bCs w:val="0"/>
          <w:szCs w:val="24"/>
        </w:rPr>
        <w:t>.</w:t>
      </w:r>
      <w:r w:rsidR="00903CAE">
        <w:rPr>
          <w:rFonts w:ascii="Arial" w:hAnsi="Arial" w:cs="Arial"/>
          <w:b w:val="0"/>
          <w:bCs w:val="0"/>
          <w:szCs w:val="24"/>
        </w:rPr>
        <w:t>6</w:t>
      </w:r>
      <w:r w:rsidR="0066793E" w:rsidRPr="000A55D3">
        <w:rPr>
          <w:rFonts w:ascii="Arial" w:hAnsi="Arial" w:cs="Arial"/>
          <w:b w:val="0"/>
          <w:bCs w:val="0"/>
          <w:szCs w:val="24"/>
        </w:rPr>
        <w:t>% studied</w:t>
      </w:r>
      <w:r w:rsidRPr="000A55D3">
        <w:rPr>
          <w:rFonts w:ascii="Arial" w:hAnsi="Arial" w:cs="Arial"/>
          <w:b w:val="0"/>
          <w:bCs w:val="0"/>
          <w:szCs w:val="24"/>
        </w:rPr>
        <w:t xml:space="preserve"> in </w:t>
      </w:r>
      <w:r w:rsidR="00D523A4" w:rsidRPr="000A55D3">
        <w:rPr>
          <w:rFonts w:ascii="Arial" w:hAnsi="Arial" w:cs="Arial"/>
          <w:b w:val="0"/>
          <w:bCs w:val="0"/>
          <w:szCs w:val="24"/>
        </w:rPr>
        <w:t>a technological/vocational</w:t>
      </w:r>
      <w:r w:rsidR="00573911" w:rsidRPr="000A55D3">
        <w:rPr>
          <w:rFonts w:ascii="Arial" w:hAnsi="Arial" w:cs="Arial"/>
          <w:b w:val="0"/>
          <w:bCs w:val="0"/>
          <w:szCs w:val="24"/>
        </w:rPr>
        <w:t xml:space="preserve"> track</w:t>
      </w:r>
      <w:r w:rsidR="0066793E" w:rsidRPr="000A55D3">
        <w:rPr>
          <w:rFonts w:ascii="Arial" w:hAnsi="Arial" w:cs="Arial"/>
          <w:b w:val="0"/>
          <w:bCs w:val="0"/>
          <w:szCs w:val="24"/>
        </w:rPr>
        <w:t>.</w:t>
      </w:r>
      <w:r w:rsidR="008542BC">
        <w:rPr>
          <w:rStyle w:val="FootnoteReference"/>
          <w:rFonts w:ascii="Arial" w:hAnsi="Arial"/>
          <w:b w:val="0"/>
          <w:bCs w:val="0"/>
        </w:rPr>
        <w:footnoteReference w:id="7"/>
      </w:r>
      <w:r w:rsidR="0066793E" w:rsidRPr="000A55D3">
        <w:rPr>
          <w:rFonts w:ascii="Arial" w:hAnsi="Arial" w:cs="Arial"/>
          <w:b w:val="0"/>
          <w:bCs w:val="0"/>
          <w:szCs w:val="24"/>
        </w:rPr>
        <w:t xml:space="preserve"> This </w:t>
      </w:r>
      <w:r w:rsidR="00581CF4">
        <w:rPr>
          <w:rFonts w:ascii="Arial" w:hAnsi="Arial" w:cs="Arial"/>
          <w:b w:val="0"/>
          <w:bCs w:val="0"/>
          <w:szCs w:val="24"/>
        </w:rPr>
        <w:t xml:space="preserve">figure </w:t>
      </w:r>
      <w:r w:rsidR="0066793E" w:rsidRPr="000A55D3">
        <w:rPr>
          <w:rFonts w:ascii="Arial" w:hAnsi="Arial" w:cs="Arial"/>
          <w:b w:val="0"/>
          <w:bCs w:val="0"/>
          <w:szCs w:val="24"/>
        </w:rPr>
        <w:t>wa</w:t>
      </w:r>
      <w:r w:rsidR="00573911" w:rsidRPr="000A55D3">
        <w:rPr>
          <w:rFonts w:ascii="Arial" w:hAnsi="Arial" w:cs="Arial"/>
          <w:b w:val="0"/>
          <w:bCs w:val="0"/>
          <w:szCs w:val="24"/>
        </w:rPr>
        <w:t>s</w:t>
      </w:r>
      <w:r w:rsidR="00D523A4" w:rsidRPr="000A55D3">
        <w:rPr>
          <w:rFonts w:ascii="Arial" w:hAnsi="Arial" w:cs="Arial"/>
          <w:b w:val="0"/>
          <w:bCs w:val="0"/>
          <w:szCs w:val="24"/>
        </w:rPr>
        <w:t xml:space="preserve"> </w:t>
      </w:r>
      <w:r w:rsidR="0005674D" w:rsidRPr="000A55D3">
        <w:rPr>
          <w:rFonts w:ascii="Arial" w:hAnsi="Arial" w:cs="Arial"/>
          <w:b w:val="0"/>
          <w:bCs w:val="0"/>
          <w:szCs w:val="24"/>
        </w:rPr>
        <w:t xml:space="preserve">slightly </w:t>
      </w:r>
      <w:r w:rsidR="00D523A4" w:rsidRPr="000A55D3">
        <w:rPr>
          <w:rFonts w:ascii="Arial" w:hAnsi="Arial" w:cs="Arial"/>
          <w:b w:val="0"/>
          <w:bCs w:val="0"/>
          <w:szCs w:val="24"/>
        </w:rPr>
        <w:t>higher</w:t>
      </w:r>
      <w:r w:rsidR="00573911" w:rsidRPr="000A55D3">
        <w:rPr>
          <w:rFonts w:ascii="Arial" w:hAnsi="Arial" w:cs="Arial"/>
          <w:b w:val="0"/>
          <w:bCs w:val="0"/>
          <w:szCs w:val="24"/>
        </w:rPr>
        <w:t xml:space="preserve"> </w:t>
      </w:r>
      <w:r w:rsidR="00D523A4" w:rsidRPr="000A55D3">
        <w:rPr>
          <w:rFonts w:ascii="Arial" w:hAnsi="Arial" w:cs="Arial"/>
          <w:b w:val="0"/>
          <w:bCs w:val="0"/>
          <w:szCs w:val="24"/>
        </w:rPr>
        <w:t>than the</w:t>
      </w:r>
      <w:r w:rsidRPr="000A55D3">
        <w:rPr>
          <w:rFonts w:ascii="Arial" w:hAnsi="Arial" w:cs="Arial"/>
          <w:b w:val="0"/>
          <w:bCs w:val="0"/>
          <w:szCs w:val="24"/>
        </w:rPr>
        <w:t xml:space="preserve"> percentage among Moslem</w:t>
      </w:r>
      <w:r w:rsidR="00E55F79" w:rsidRPr="000A55D3">
        <w:rPr>
          <w:rFonts w:ascii="Arial" w:hAnsi="Arial" w:cs="Arial"/>
          <w:b w:val="0"/>
          <w:bCs w:val="0"/>
          <w:szCs w:val="24"/>
        </w:rPr>
        <w:t>s (40.</w:t>
      </w:r>
      <w:r w:rsidR="00047D6D">
        <w:rPr>
          <w:rFonts w:ascii="Arial" w:hAnsi="Arial" w:cs="Arial" w:hint="cs"/>
          <w:b w:val="0"/>
          <w:bCs w:val="0"/>
          <w:szCs w:val="24"/>
          <w:rtl/>
        </w:rPr>
        <w:t>6</w:t>
      </w:r>
      <w:r w:rsidR="00E55F79" w:rsidRPr="000A55D3">
        <w:rPr>
          <w:rFonts w:ascii="Arial" w:hAnsi="Arial" w:cs="Arial"/>
          <w:b w:val="0"/>
          <w:bCs w:val="0"/>
          <w:szCs w:val="24"/>
        </w:rPr>
        <w:t xml:space="preserve">%), and considerably higher than the percentage among Jewish </w:t>
      </w:r>
      <w:r w:rsidRPr="000A55D3">
        <w:rPr>
          <w:rFonts w:ascii="Arial" w:hAnsi="Arial" w:cs="Arial"/>
          <w:b w:val="0"/>
          <w:bCs w:val="0"/>
          <w:szCs w:val="24"/>
        </w:rPr>
        <w:t xml:space="preserve">upper secondary </w:t>
      </w:r>
      <w:r w:rsidR="00AF2301">
        <w:rPr>
          <w:rFonts w:ascii="Arial" w:hAnsi="Arial" w:cs="Arial"/>
          <w:b w:val="0"/>
          <w:bCs w:val="0"/>
          <w:szCs w:val="24"/>
        </w:rPr>
        <w:t>student</w:t>
      </w:r>
      <w:r w:rsidR="00E55F79" w:rsidRPr="000A55D3">
        <w:rPr>
          <w:rFonts w:ascii="Arial" w:hAnsi="Arial" w:cs="Arial"/>
          <w:b w:val="0"/>
          <w:bCs w:val="0"/>
          <w:szCs w:val="24"/>
        </w:rPr>
        <w:t xml:space="preserve">s </w:t>
      </w:r>
      <w:r w:rsidR="00573911" w:rsidRPr="000A55D3">
        <w:rPr>
          <w:rFonts w:ascii="Arial" w:hAnsi="Arial" w:cs="Arial"/>
          <w:b w:val="0"/>
          <w:bCs w:val="0"/>
          <w:szCs w:val="24"/>
        </w:rPr>
        <w:t xml:space="preserve">(Hebrew education), </w:t>
      </w:r>
      <w:r w:rsidR="000A55D3">
        <w:rPr>
          <w:rFonts w:ascii="Arial" w:hAnsi="Arial" w:cs="Arial"/>
          <w:b w:val="0"/>
          <w:bCs w:val="0"/>
          <w:szCs w:val="24"/>
        </w:rPr>
        <w:t>which was 3</w:t>
      </w:r>
      <w:r w:rsidR="00047D6D">
        <w:rPr>
          <w:rFonts w:ascii="Arial" w:hAnsi="Arial" w:cs="Arial" w:hint="cs"/>
          <w:b w:val="0"/>
          <w:bCs w:val="0"/>
          <w:szCs w:val="24"/>
          <w:rtl/>
        </w:rPr>
        <w:t>5</w:t>
      </w:r>
      <w:r w:rsidR="000A55D3">
        <w:rPr>
          <w:rFonts w:ascii="Arial" w:hAnsi="Arial" w:cs="Arial"/>
          <w:b w:val="0"/>
          <w:bCs w:val="0"/>
          <w:szCs w:val="24"/>
        </w:rPr>
        <w:t>.</w:t>
      </w:r>
      <w:r w:rsidR="00047D6D">
        <w:rPr>
          <w:rFonts w:ascii="Arial" w:hAnsi="Arial" w:cs="Arial" w:hint="cs"/>
          <w:b w:val="0"/>
          <w:bCs w:val="0"/>
          <w:szCs w:val="24"/>
          <w:rtl/>
        </w:rPr>
        <w:t>3</w:t>
      </w:r>
      <w:r w:rsidR="000A55D3">
        <w:rPr>
          <w:rFonts w:ascii="Arial" w:hAnsi="Arial" w:cs="Arial"/>
          <w:b w:val="0"/>
          <w:bCs w:val="0"/>
          <w:szCs w:val="24"/>
        </w:rPr>
        <w:t>%.</w:t>
      </w:r>
    </w:p>
    <w:p w14:paraId="1902B925" w14:textId="021722C4" w:rsidR="008A56A2" w:rsidRDefault="008A56A2" w:rsidP="00047D6D">
      <w:pPr>
        <w:pStyle w:val="diagramheading"/>
        <w:spacing w:after="0"/>
      </w:pPr>
      <w:r w:rsidRPr="001348BA">
        <w:t xml:space="preserve">Diagram </w:t>
      </w:r>
      <w:r w:rsidR="00047D6D" w:rsidRPr="001348BA">
        <w:rPr>
          <w:rFonts w:hint="cs"/>
          <w:rtl/>
        </w:rPr>
        <w:t>7</w:t>
      </w:r>
      <w:r w:rsidR="001E170E" w:rsidRPr="001348BA">
        <w:t xml:space="preserve"> -</w:t>
      </w:r>
      <w:r w:rsidRPr="001348BA">
        <w:t xml:space="preserve"> Students in Upper Secondary Schools Who Studied in Technological/Vocational Tracks</w:t>
      </w:r>
      <w:r w:rsidR="00725DEB" w:rsidRPr="001348BA">
        <w:t>,</w:t>
      </w:r>
      <w:r w:rsidRPr="001348BA">
        <w:t xml:space="preserve"> by Religion and Sex, 20</w:t>
      </w:r>
      <w:r w:rsidR="00047D6D" w:rsidRPr="001348BA">
        <w:rPr>
          <w:rFonts w:hint="cs"/>
          <w:rtl/>
        </w:rPr>
        <w:t>20</w:t>
      </w:r>
      <w:r w:rsidRPr="001348BA">
        <w:t>/2</w:t>
      </w:r>
      <w:r w:rsidR="00047D6D" w:rsidRPr="001348BA">
        <w:t>1</w:t>
      </w:r>
    </w:p>
    <w:p w14:paraId="18857FAF" w14:textId="77777777" w:rsidR="00AB7595" w:rsidRDefault="00AB7595" w:rsidP="001E170E">
      <w:pPr>
        <w:pStyle w:val="text1"/>
        <w:spacing w:after="0" w:line="240" w:lineRule="auto"/>
        <w:ind w:left="1134"/>
      </w:pPr>
      <w:r>
        <w:t>Percentage of each group</w:t>
      </w:r>
    </w:p>
    <w:p w14:paraId="54801BBD" w14:textId="6EE78645" w:rsidR="0041378D" w:rsidRDefault="001348BA" w:rsidP="0041378D">
      <w:pPr>
        <w:pStyle w:val="center"/>
      </w:pPr>
      <w:r>
        <w:drawing>
          <wp:inline distT="0" distB="0" distL="0" distR="0" wp14:anchorId="28572701" wp14:editId="48CF2B0A">
            <wp:extent cx="5265420" cy="3063240"/>
            <wp:effectExtent l="0" t="0" r="0" b="3810"/>
            <wp:docPr id="22" name="Picture 22" descr="Diagram 7 - Students in Upper Secondary Schools Who Studied in Technological/Vocational Tracks, by Religion and Sex, 2020/21" title="Diagram 7 - Students in Upper Secondary Schools Who Studied in Technological/Vocational Tracks, by Religion and Sex, 2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65420" cy="3063240"/>
                    </a:xfrm>
                    <a:prstGeom prst="rect">
                      <a:avLst/>
                    </a:prstGeom>
                    <a:noFill/>
                  </pic:spPr>
                </pic:pic>
              </a:graphicData>
            </a:graphic>
          </wp:inline>
        </w:drawing>
      </w:r>
    </w:p>
    <w:p w14:paraId="65F6ED37" w14:textId="77777777" w:rsidR="00A85E14" w:rsidRDefault="00A85E14">
      <w:pPr>
        <w:bidi w:val="0"/>
        <w:rPr>
          <w:rFonts w:ascii="Arial" w:hAnsi="Arial" w:cs="Arial"/>
          <w:color w:val="215868"/>
          <w:szCs w:val="24"/>
        </w:rPr>
      </w:pPr>
      <w:r>
        <w:br w:type="page"/>
      </w:r>
    </w:p>
    <w:p w14:paraId="51B50038" w14:textId="04F92B18" w:rsidR="003C4D54" w:rsidRPr="000A55D3" w:rsidRDefault="003C4D54" w:rsidP="007C0F60">
      <w:pPr>
        <w:pStyle w:val="Heading3"/>
      </w:pPr>
      <w:r w:rsidRPr="000A55D3">
        <w:t xml:space="preserve">Matriculation Exams </w:t>
      </w:r>
      <w:r w:rsidR="00573911" w:rsidRPr="000A55D3">
        <w:t>(</w:t>
      </w:r>
      <w:r w:rsidR="006F7AF2">
        <w:t>201</w:t>
      </w:r>
      <w:r w:rsidR="007C0F60">
        <w:t>9</w:t>
      </w:r>
      <w:r w:rsidR="006F7AF2">
        <w:t>/</w:t>
      </w:r>
      <w:r w:rsidR="007C0F60">
        <w:t>20</w:t>
      </w:r>
      <w:r w:rsidR="00573911" w:rsidRPr="000A55D3">
        <w:t>)</w:t>
      </w:r>
    </w:p>
    <w:p w14:paraId="0A66F068" w14:textId="55BBEEEF" w:rsidR="007C0F60" w:rsidRDefault="002B7180" w:rsidP="00DD25C4">
      <w:pPr>
        <w:bidi w:val="0"/>
        <w:spacing w:after="120" w:line="360" w:lineRule="auto"/>
        <w:rPr>
          <w:rFonts w:ascii="Arial" w:hAnsi="Arial" w:cs="Arial"/>
          <w:b w:val="0"/>
          <w:bCs w:val="0"/>
          <w:szCs w:val="24"/>
          <w:rtl/>
        </w:rPr>
      </w:pPr>
      <w:r w:rsidRPr="000A55D3">
        <w:rPr>
          <w:rFonts w:ascii="Arial" w:hAnsi="Arial" w:cs="Arial"/>
          <w:b w:val="0"/>
          <w:bCs w:val="0"/>
          <w:szCs w:val="24"/>
        </w:rPr>
        <w:t xml:space="preserve">In the </w:t>
      </w:r>
      <w:r w:rsidR="006F7AF2">
        <w:rPr>
          <w:rFonts w:ascii="Arial" w:hAnsi="Arial" w:cs="Arial"/>
          <w:b w:val="0"/>
          <w:bCs w:val="0"/>
          <w:szCs w:val="24"/>
        </w:rPr>
        <w:t>201</w:t>
      </w:r>
      <w:r w:rsidR="007C0F60">
        <w:rPr>
          <w:rFonts w:ascii="Arial" w:hAnsi="Arial" w:cs="Arial"/>
          <w:b w:val="0"/>
          <w:bCs w:val="0"/>
          <w:szCs w:val="24"/>
        </w:rPr>
        <w:t>9</w:t>
      </w:r>
      <w:r w:rsidR="006F7AF2">
        <w:rPr>
          <w:rFonts w:ascii="Arial" w:hAnsi="Arial" w:cs="Arial"/>
          <w:b w:val="0"/>
          <w:bCs w:val="0"/>
          <w:szCs w:val="24"/>
        </w:rPr>
        <w:t>/</w:t>
      </w:r>
      <w:r w:rsidR="007C0F60">
        <w:rPr>
          <w:rFonts w:ascii="Arial" w:hAnsi="Arial" w:cs="Arial"/>
          <w:b w:val="0"/>
          <w:bCs w:val="0"/>
          <w:szCs w:val="24"/>
        </w:rPr>
        <w:t>20</w:t>
      </w:r>
      <w:r w:rsidR="006F7AF2">
        <w:rPr>
          <w:rFonts w:ascii="Arial" w:hAnsi="Arial" w:cs="Arial"/>
          <w:b w:val="0"/>
          <w:bCs w:val="0"/>
          <w:szCs w:val="24"/>
        </w:rPr>
        <w:t xml:space="preserve"> school year</w:t>
      </w:r>
      <w:r w:rsidRPr="000A55D3">
        <w:rPr>
          <w:rFonts w:ascii="Arial" w:hAnsi="Arial" w:cs="Arial"/>
          <w:b w:val="0"/>
          <w:bCs w:val="0"/>
          <w:szCs w:val="24"/>
        </w:rPr>
        <w:t xml:space="preserve">, Christians comprised </w:t>
      </w:r>
      <w:r w:rsidR="00F8747A">
        <w:rPr>
          <w:rFonts w:ascii="Arial" w:hAnsi="Arial" w:cs="Arial"/>
          <w:b w:val="0"/>
          <w:bCs w:val="0"/>
          <w:szCs w:val="24"/>
        </w:rPr>
        <w:t>6.</w:t>
      </w:r>
      <w:r w:rsidR="007C0F60">
        <w:rPr>
          <w:rFonts w:ascii="Arial" w:hAnsi="Arial" w:cs="Arial"/>
          <w:b w:val="0"/>
          <w:bCs w:val="0"/>
          <w:szCs w:val="24"/>
        </w:rPr>
        <w:t>1</w:t>
      </w:r>
      <w:r w:rsidRPr="000A55D3">
        <w:rPr>
          <w:rFonts w:ascii="Arial" w:hAnsi="Arial" w:cs="Arial"/>
          <w:b w:val="0"/>
          <w:bCs w:val="0"/>
          <w:szCs w:val="24"/>
        </w:rPr>
        <w:t xml:space="preserve">% of all </w:t>
      </w:r>
      <w:r w:rsidR="00536E92">
        <w:rPr>
          <w:rFonts w:ascii="Arial" w:hAnsi="Arial" w:cs="Arial"/>
          <w:b w:val="0"/>
          <w:bCs w:val="0"/>
          <w:szCs w:val="24"/>
        </w:rPr>
        <w:t>12th-</w:t>
      </w:r>
      <w:r w:rsidRPr="000A55D3">
        <w:rPr>
          <w:rFonts w:ascii="Arial" w:hAnsi="Arial" w:cs="Arial"/>
          <w:b w:val="0"/>
          <w:bCs w:val="0"/>
          <w:szCs w:val="24"/>
        </w:rPr>
        <w:t xml:space="preserve">grade </w:t>
      </w:r>
      <w:r w:rsidR="00AF2301">
        <w:rPr>
          <w:rFonts w:ascii="Arial" w:hAnsi="Arial" w:cs="Arial"/>
          <w:b w:val="0"/>
          <w:bCs w:val="0"/>
          <w:szCs w:val="24"/>
        </w:rPr>
        <w:t>student</w:t>
      </w:r>
      <w:r w:rsidRPr="000A55D3">
        <w:rPr>
          <w:rFonts w:ascii="Arial" w:hAnsi="Arial" w:cs="Arial"/>
          <w:b w:val="0"/>
          <w:bCs w:val="0"/>
          <w:szCs w:val="24"/>
        </w:rPr>
        <w:t xml:space="preserve">s in Arab </w:t>
      </w:r>
      <w:r w:rsidRPr="00DD25C4">
        <w:rPr>
          <w:rFonts w:ascii="Arial" w:hAnsi="Arial" w:cs="Arial"/>
          <w:b w:val="0"/>
          <w:bCs w:val="0"/>
          <w:szCs w:val="24"/>
        </w:rPr>
        <w:t>education</w:t>
      </w:r>
      <w:r w:rsidR="00E34FA9" w:rsidRPr="00DD25C4">
        <w:rPr>
          <w:rFonts w:ascii="Arial" w:hAnsi="Arial" w:cs="Arial"/>
          <w:b w:val="0"/>
          <w:bCs w:val="0"/>
          <w:szCs w:val="24"/>
        </w:rPr>
        <w:t xml:space="preserve">. </w:t>
      </w:r>
    </w:p>
    <w:p w14:paraId="27D64707" w14:textId="5628CD5E" w:rsidR="003C4D54" w:rsidRPr="000A55D3" w:rsidRDefault="00A85E14" w:rsidP="00DD25C4">
      <w:pPr>
        <w:bidi w:val="0"/>
        <w:spacing w:after="120" w:line="360" w:lineRule="auto"/>
        <w:rPr>
          <w:rFonts w:ascii="Arial" w:hAnsi="Arial" w:cs="Arial"/>
          <w:b w:val="0"/>
          <w:bCs w:val="0"/>
          <w:szCs w:val="24"/>
        </w:rPr>
      </w:pPr>
      <w:r w:rsidRPr="00DD25C4">
        <w:rPr>
          <w:rFonts w:ascii="Arial" w:hAnsi="Arial" w:cs="Arial"/>
          <w:b w:val="0"/>
          <w:bCs w:val="0"/>
          <w:szCs w:val="24"/>
        </w:rPr>
        <w:t>In recent years, an increase has been observed in the rate of those eligible</w:t>
      </w:r>
      <w:r w:rsidRPr="00DD25C4">
        <w:rPr>
          <w:rStyle w:val="FootnoteReference"/>
          <w:rFonts w:ascii="Arial" w:hAnsi="Arial"/>
          <w:b w:val="0"/>
          <w:bCs w:val="0"/>
        </w:rPr>
        <w:footnoteReference w:id="8"/>
      </w:r>
      <w:r w:rsidRPr="00DD25C4">
        <w:rPr>
          <w:rFonts w:ascii="Arial" w:hAnsi="Arial" w:cs="Arial"/>
          <w:b w:val="0"/>
          <w:bCs w:val="0"/>
          <w:szCs w:val="24"/>
        </w:rPr>
        <w:t xml:space="preserve"> for a matriculation certificate; in this year, this increase was maintained and 81.6% of Christian students in 12</w:t>
      </w:r>
      <w:r w:rsidRPr="00DD25C4">
        <w:rPr>
          <w:rFonts w:ascii="Arial" w:hAnsi="Arial" w:cs="Arial"/>
          <w:b w:val="0"/>
          <w:bCs w:val="0"/>
          <w:szCs w:val="24"/>
          <w:vertAlign w:val="superscript"/>
        </w:rPr>
        <w:t>th</w:t>
      </w:r>
      <w:r w:rsidRPr="00DD25C4">
        <w:rPr>
          <w:rFonts w:ascii="Arial" w:hAnsi="Arial" w:cs="Arial"/>
          <w:b w:val="0"/>
          <w:bCs w:val="0"/>
          <w:szCs w:val="24"/>
        </w:rPr>
        <w:t xml:space="preserve"> grade were eligible.</w:t>
      </w:r>
      <w:r w:rsidR="00DD25C4" w:rsidRPr="00DD25C4">
        <w:rPr>
          <w:rFonts w:ascii="Arial" w:hAnsi="Arial" w:cs="Arial"/>
          <w:b w:val="0"/>
          <w:bCs w:val="0"/>
          <w:szCs w:val="24"/>
        </w:rPr>
        <w:t xml:space="preserve"> </w:t>
      </w:r>
      <w:r w:rsidR="007A3073" w:rsidRPr="00DD25C4">
        <w:rPr>
          <w:rFonts w:ascii="Arial" w:hAnsi="Arial" w:cs="Arial"/>
          <w:b w:val="0"/>
          <w:bCs w:val="0"/>
          <w:szCs w:val="24"/>
        </w:rPr>
        <w:t xml:space="preserve">The percentage of Christian </w:t>
      </w:r>
      <w:r w:rsidR="00AF2301" w:rsidRPr="00DD25C4">
        <w:rPr>
          <w:rFonts w:ascii="Arial" w:hAnsi="Arial" w:cs="Arial"/>
          <w:b w:val="0"/>
          <w:bCs w:val="0"/>
          <w:szCs w:val="24"/>
        </w:rPr>
        <w:t>student</w:t>
      </w:r>
      <w:r w:rsidR="007A3073" w:rsidRPr="00DD25C4">
        <w:rPr>
          <w:rFonts w:ascii="Arial" w:hAnsi="Arial" w:cs="Arial"/>
          <w:b w:val="0"/>
          <w:bCs w:val="0"/>
          <w:szCs w:val="24"/>
        </w:rPr>
        <w:t xml:space="preserve">s </w:t>
      </w:r>
      <w:r w:rsidR="004E71F1" w:rsidRPr="00DD25C4">
        <w:rPr>
          <w:rFonts w:ascii="Arial" w:hAnsi="Arial" w:cs="Arial"/>
          <w:b w:val="0"/>
          <w:bCs w:val="0"/>
          <w:szCs w:val="24"/>
        </w:rPr>
        <w:t>eligible for</w:t>
      </w:r>
      <w:r w:rsidR="007A3073" w:rsidRPr="00DD25C4">
        <w:rPr>
          <w:rFonts w:ascii="Arial" w:hAnsi="Arial" w:cs="Arial"/>
          <w:b w:val="0"/>
          <w:bCs w:val="0"/>
          <w:szCs w:val="24"/>
        </w:rPr>
        <w:t xml:space="preserve"> a matriculation certificate</w:t>
      </w:r>
      <w:r w:rsidR="00D610A5" w:rsidRPr="00DD25C4">
        <w:rPr>
          <w:rFonts w:ascii="Arial" w:hAnsi="Arial" w:cs="Arial"/>
          <w:b w:val="0"/>
          <w:bCs w:val="0"/>
          <w:szCs w:val="24"/>
        </w:rPr>
        <w:t xml:space="preserve"> in</w:t>
      </w:r>
      <w:r w:rsidR="00D610A5" w:rsidRPr="000A55D3">
        <w:rPr>
          <w:rFonts w:ascii="Arial" w:hAnsi="Arial" w:cs="Arial"/>
          <w:b w:val="0"/>
          <w:bCs w:val="0"/>
          <w:szCs w:val="24"/>
        </w:rPr>
        <w:t xml:space="preserve"> 20</w:t>
      </w:r>
      <w:r w:rsidR="006D3332">
        <w:rPr>
          <w:rFonts w:ascii="Arial" w:hAnsi="Arial" w:cs="Arial"/>
          <w:b w:val="0"/>
          <w:bCs w:val="0"/>
          <w:szCs w:val="24"/>
        </w:rPr>
        <w:t>1</w:t>
      </w:r>
      <w:r w:rsidR="00AC607A">
        <w:rPr>
          <w:rFonts w:ascii="Arial" w:hAnsi="Arial" w:cs="Arial" w:hint="cs"/>
          <w:b w:val="0"/>
          <w:bCs w:val="0"/>
          <w:szCs w:val="24"/>
          <w:rtl/>
        </w:rPr>
        <w:t>9</w:t>
      </w:r>
      <w:r w:rsidR="006D3332">
        <w:rPr>
          <w:rFonts w:ascii="Arial" w:hAnsi="Arial" w:cs="Arial"/>
          <w:b w:val="0"/>
          <w:bCs w:val="0"/>
          <w:szCs w:val="24"/>
        </w:rPr>
        <w:t>/</w:t>
      </w:r>
      <w:r w:rsidR="00AC607A">
        <w:rPr>
          <w:rFonts w:ascii="Arial" w:hAnsi="Arial" w:cs="Arial" w:hint="cs"/>
          <w:b w:val="0"/>
          <w:bCs w:val="0"/>
          <w:szCs w:val="24"/>
          <w:rtl/>
        </w:rPr>
        <w:t>20</w:t>
      </w:r>
      <w:r w:rsidR="007A3073" w:rsidRPr="000A55D3">
        <w:rPr>
          <w:rFonts w:ascii="Arial" w:hAnsi="Arial" w:cs="Arial"/>
          <w:b w:val="0"/>
          <w:bCs w:val="0"/>
          <w:szCs w:val="24"/>
        </w:rPr>
        <w:t xml:space="preserve"> was lower than the perc</w:t>
      </w:r>
      <w:r w:rsidR="008A109D">
        <w:rPr>
          <w:rFonts w:ascii="Arial" w:hAnsi="Arial" w:cs="Arial"/>
          <w:b w:val="0"/>
          <w:bCs w:val="0"/>
          <w:szCs w:val="24"/>
        </w:rPr>
        <w:t>entage in Hebrew education</w:t>
      </w:r>
      <w:r w:rsidR="00AC607A" w:rsidRPr="000A55D3">
        <w:rPr>
          <w:rStyle w:val="FootnoteReference"/>
          <w:rFonts w:ascii="Arial" w:hAnsi="Arial"/>
          <w:b w:val="0"/>
          <w:bCs w:val="0"/>
          <w:szCs w:val="24"/>
        </w:rPr>
        <w:footnoteReference w:id="9"/>
      </w:r>
      <w:r w:rsidR="008A109D">
        <w:rPr>
          <w:rFonts w:ascii="Arial" w:hAnsi="Arial" w:cs="Arial"/>
          <w:b w:val="0"/>
          <w:bCs w:val="0"/>
          <w:szCs w:val="24"/>
        </w:rPr>
        <w:t xml:space="preserve"> (83.</w:t>
      </w:r>
      <w:r w:rsidR="00AC607A">
        <w:rPr>
          <w:rFonts w:ascii="Arial" w:hAnsi="Arial" w:cs="Arial" w:hint="cs"/>
          <w:b w:val="0"/>
          <w:bCs w:val="0"/>
          <w:szCs w:val="24"/>
          <w:rtl/>
        </w:rPr>
        <w:t>4</w:t>
      </w:r>
      <w:r w:rsidR="007A3073" w:rsidRPr="000A55D3">
        <w:rPr>
          <w:rFonts w:ascii="Arial" w:hAnsi="Arial" w:cs="Arial"/>
          <w:b w:val="0"/>
          <w:bCs w:val="0"/>
          <w:szCs w:val="24"/>
        </w:rPr>
        <w:t>%) and lower than the percentage of</w:t>
      </w:r>
      <w:r w:rsidR="002B7180" w:rsidRPr="000A55D3">
        <w:rPr>
          <w:rFonts w:ascii="Arial" w:hAnsi="Arial" w:cs="Arial"/>
          <w:b w:val="0"/>
          <w:bCs w:val="0"/>
          <w:szCs w:val="24"/>
        </w:rPr>
        <w:t xml:space="preserve"> Druze</w:t>
      </w:r>
      <w:r w:rsidR="007A3073" w:rsidRPr="000A55D3">
        <w:rPr>
          <w:rFonts w:ascii="Arial" w:hAnsi="Arial" w:cs="Arial"/>
          <w:b w:val="0"/>
          <w:bCs w:val="0"/>
          <w:szCs w:val="24"/>
        </w:rPr>
        <w:t xml:space="preserve"> (8</w:t>
      </w:r>
      <w:r w:rsidR="00AC607A">
        <w:rPr>
          <w:rFonts w:ascii="Arial" w:hAnsi="Arial" w:cs="Arial" w:hint="cs"/>
          <w:b w:val="0"/>
          <w:bCs w:val="0"/>
          <w:szCs w:val="24"/>
          <w:rtl/>
        </w:rPr>
        <w:t>8</w:t>
      </w:r>
      <w:r w:rsidR="007A3073" w:rsidRPr="000A55D3">
        <w:rPr>
          <w:rFonts w:ascii="Arial" w:hAnsi="Arial" w:cs="Arial"/>
          <w:b w:val="0"/>
          <w:bCs w:val="0"/>
          <w:szCs w:val="24"/>
        </w:rPr>
        <w:t>.</w:t>
      </w:r>
      <w:r w:rsidR="00AC607A">
        <w:rPr>
          <w:rFonts w:ascii="Arial" w:hAnsi="Arial" w:cs="Arial" w:hint="cs"/>
          <w:b w:val="0"/>
          <w:bCs w:val="0"/>
          <w:szCs w:val="24"/>
          <w:rtl/>
        </w:rPr>
        <w:t>5</w:t>
      </w:r>
      <w:r w:rsidR="007A3073" w:rsidRPr="000A55D3">
        <w:rPr>
          <w:rFonts w:ascii="Arial" w:hAnsi="Arial" w:cs="Arial"/>
          <w:b w:val="0"/>
          <w:bCs w:val="0"/>
          <w:szCs w:val="24"/>
        </w:rPr>
        <w:t>%)</w:t>
      </w:r>
      <w:r w:rsidR="002B7180" w:rsidRPr="000A55D3">
        <w:rPr>
          <w:rFonts w:ascii="Arial" w:hAnsi="Arial" w:cs="Arial"/>
          <w:b w:val="0"/>
          <w:bCs w:val="0"/>
          <w:szCs w:val="24"/>
        </w:rPr>
        <w:t xml:space="preserve">, </w:t>
      </w:r>
      <w:r w:rsidR="007A3073" w:rsidRPr="000A55D3">
        <w:rPr>
          <w:rFonts w:ascii="Arial" w:hAnsi="Arial" w:cs="Arial"/>
          <w:b w:val="0"/>
          <w:bCs w:val="0"/>
          <w:szCs w:val="24"/>
        </w:rPr>
        <w:t>but higher than the percentage of Moslems (6</w:t>
      </w:r>
      <w:r w:rsidR="00AC607A">
        <w:rPr>
          <w:rFonts w:ascii="Arial" w:hAnsi="Arial" w:cs="Arial" w:hint="cs"/>
          <w:b w:val="0"/>
          <w:bCs w:val="0"/>
          <w:szCs w:val="24"/>
          <w:rtl/>
        </w:rPr>
        <w:t>5</w:t>
      </w:r>
      <w:r w:rsidR="003C4D54" w:rsidRPr="000A55D3">
        <w:rPr>
          <w:rFonts w:ascii="Arial" w:hAnsi="Arial" w:cs="Arial"/>
          <w:b w:val="0"/>
          <w:bCs w:val="0"/>
          <w:szCs w:val="24"/>
        </w:rPr>
        <w:t>%</w:t>
      </w:r>
      <w:r w:rsidR="007A3073" w:rsidRPr="000A55D3">
        <w:rPr>
          <w:rFonts w:ascii="Arial" w:hAnsi="Arial" w:cs="Arial"/>
          <w:b w:val="0"/>
          <w:bCs w:val="0"/>
          <w:szCs w:val="24"/>
        </w:rPr>
        <w:t>).</w:t>
      </w:r>
    </w:p>
    <w:p w14:paraId="626F937C" w14:textId="35352E0A" w:rsidR="003C4D54" w:rsidRDefault="00E90249" w:rsidP="00AC607A">
      <w:pPr>
        <w:bidi w:val="0"/>
        <w:spacing w:after="120" w:line="360" w:lineRule="auto"/>
        <w:rPr>
          <w:rFonts w:ascii="Arial" w:hAnsi="Arial" w:cs="Arial"/>
          <w:b w:val="0"/>
          <w:bCs w:val="0"/>
          <w:szCs w:val="24"/>
        </w:rPr>
      </w:pPr>
      <w:r>
        <w:rPr>
          <w:rFonts w:ascii="Arial" w:hAnsi="Arial" w:cs="Arial"/>
          <w:b w:val="0"/>
          <w:bCs w:val="0"/>
          <w:szCs w:val="24"/>
        </w:rPr>
        <w:t xml:space="preserve">A </w:t>
      </w:r>
      <w:r w:rsidR="00BD0948">
        <w:rPr>
          <w:rFonts w:ascii="Arial" w:hAnsi="Arial" w:cs="Arial"/>
          <w:b w:val="0"/>
          <w:bCs w:val="0"/>
          <w:szCs w:val="24"/>
        </w:rPr>
        <w:t>h</w:t>
      </w:r>
      <w:r w:rsidR="00E44C69">
        <w:rPr>
          <w:rFonts w:ascii="Arial" w:hAnsi="Arial" w:cs="Arial"/>
          <w:b w:val="0"/>
          <w:bCs w:val="0"/>
          <w:szCs w:val="24"/>
        </w:rPr>
        <w:t>igh</w:t>
      </w:r>
      <w:r w:rsidR="00BD0948">
        <w:rPr>
          <w:rFonts w:ascii="Arial" w:hAnsi="Arial" w:cs="Arial"/>
          <w:b w:val="0"/>
          <w:bCs w:val="0"/>
          <w:szCs w:val="24"/>
        </w:rPr>
        <w:t xml:space="preserve"> percentage of </w:t>
      </w:r>
      <w:r>
        <w:rPr>
          <w:rFonts w:ascii="Arial" w:hAnsi="Arial" w:cs="Arial"/>
          <w:b w:val="0"/>
          <w:bCs w:val="0"/>
          <w:szCs w:val="24"/>
        </w:rPr>
        <w:t xml:space="preserve">Christian Arabs </w:t>
      </w:r>
      <w:r w:rsidR="00BD0948">
        <w:rPr>
          <w:rFonts w:ascii="Arial" w:hAnsi="Arial" w:cs="Arial"/>
          <w:b w:val="0"/>
          <w:bCs w:val="0"/>
          <w:szCs w:val="24"/>
        </w:rPr>
        <w:t xml:space="preserve">students </w:t>
      </w:r>
      <w:r>
        <w:rPr>
          <w:rFonts w:ascii="Arial" w:hAnsi="Arial" w:cs="Arial"/>
          <w:b w:val="0"/>
          <w:bCs w:val="0"/>
          <w:szCs w:val="24"/>
        </w:rPr>
        <w:t>(71.</w:t>
      </w:r>
      <w:r w:rsidR="00AC607A">
        <w:rPr>
          <w:rFonts w:ascii="Arial" w:hAnsi="Arial" w:cs="Arial" w:hint="cs"/>
          <w:b w:val="0"/>
          <w:bCs w:val="0"/>
          <w:szCs w:val="24"/>
          <w:rtl/>
        </w:rPr>
        <w:t>7</w:t>
      </w:r>
      <w:r>
        <w:rPr>
          <w:rFonts w:ascii="Arial" w:hAnsi="Arial" w:cs="Arial"/>
          <w:b w:val="0"/>
          <w:bCs w:val="0"/>
          <w:szCs w:val="24"/>
        </w:rPr>
        <w:t xml:space="preserve">%) received </w:t>
      </w:r>
      <w:r w:rsidR="00BD0948">
        <w:rPr>
          <w:rFonts w:ascii="Arial" w:hAnsi="Arial" w:cs="Arial"/>
          <w:b w:val="0"/>
          <w:bCs w:val="0"/>
          <w:szCs w:val="24"/>
        </w:rPr>
        <w:t xml:space="preserve">a matriculation certificate that </w:t>
      </w:r>
      <w:r w:rsidR="003C4D54" w:rsidRPr="000A55D3">
        <w:rPr>
          <w:rFonts w:ascii="Arial" w:hAnsi="Arial" w:cs="Arial"/>
          <w:b w:val="0"/>
          <w:bCs w:val="0"/>
          <w:szCs w:val="24"/>
        </w:rPr>
        <w:t>meets university entrance requirements</w:t>
      </w:r>
      <w:r w:rsidR="00841EB5">
        <w:rPr>
          <w:rFonts w:ascii="Arial" w:hAnsi="Arial" w:cs="Arial"/>
          <w:b w:val="0"/>
          <w:bCs w:val="0"/>
          <w:szCs w:val="24"/>
        </w:rPr>
        <w:t xml:space="preserve"> </w:t>
      </w:r>
      <w:r w:rsidR="00C858D1">
        <w:rPr>
          <w:rFonts w:ascii="Arial" w:hAnsi="Arial" w:cs="Arial"/>
          <w:b w:val="0"/>
          <w:bCs w:val="0"/>
          <w:szCs w:val="24"/>
        </w:rPr>
        <w:t xml:space="preserve">(and </w:t>
      </w:r>
      <w:r w:rsidR="00163493" w:rsidRPr="000A55D3">
        <w:rPr>
          <w:rFonts w:ascii="Arial" w:hAnsi="Arial" w:cs="Arial"/>
          <w:b w:val="0"/>
          <w:bCs w:val="0"/>
          <w:szCs w:val="24"/>
        </w:rPr>
        <w:t xml:space="preserve">who were </w:t>
      </w:r>
      <w:r w:rsidR="00E44C69">
        <w:rPr>
          <w:rFonts w:ascii="Arial" w:hAnsi="Arial" w:cs="Arial"/>
          <w:b w:val="0"/>
          <w:bCs w:val="0"/>
          <w:szCs w:val="24"/>
        </w:rPr>
        <w:t xml:space="preserve">thus </w:t>
      </w:r>
      <w:r w:rsidR="00163493" w:rsidRPr="000A55D3">
        <w:rPr>
          <w:rFonts w:ascii="Arial" w:hAnsi="Arial" w:cs="Arial"/>
          <w:b w:val="0"/>
          <w:bCs w:val="0"/>
          <w:szCs w:val="24"/>
        </w:rPr>
        <w:t>potential candidates for continuing to higher education</w:t>
      </w:r>
      <w:r w:rsidR="0094041D">
        <w:rPr>
          <w:rFonts w:ascii="Arial" w:hAnsi="Arial" w:cs="Arial"/>
          <w:b w:val="0"/>
          <w:bCs w:val="0"/>
          <w:szCs w:val="24"/>
        </w:rPr>
        <w:t>)</w:t>
      </w:r>
      <w:r w:rsidR="00163493" w:rsidRPr="000A55D3">
        <w:rPr>
          <w:rFonts w:ascii="Arial" w:hAnsi="Arial" w:cs="Arial"/>
          <w:b w:val="0"/>
          <w:bCs w:val="0"/>
          <w:szCs w:val="24"/>
        </w:rPr>
        <w:t>. Th</w:t>
      </w:r>
      <w:r w:rsidR="00F16740">
        <w:rPr>
          <w:rFonts w:ascii="Arial" w:hAnsi="Arial" w:cs="Arial"/>
          <w:b w:val="0"/>
          <w:bCs w:val="0"/>
          <w:szCs w:val="24"/>
        </w:rPr>
        <w:t>e</w:t>
      </w:r>
      <w:r w:rsidR="00163493" w:rsidRPr="000A55D3">
        <w:rPr>
          <w:rFonts w:ascii="Arial" w:hAnsi="Arial" w:cs="Arial"/>
          <w:b w:val="0"/>
          <w:bCs w:val="0"/>
          <w:szCs w:val="24"/>
        </w:rPr>
        <w:t xml:space="preserve"> percentage was similar</w:t>
      </w:r>
      <w:r w:rsidR="003C4D54" w:rsidRPr="000A55D3">
        <w:rPr>
          <w:rFonts w:ascii="Arial" w:hAnsi="Arial" w:cs="Arial"/>
          <w:b w:val="0"/>
          <w:bCs w:val="0"/>
          <w:szCs w:val="24"/>
        </w:rPr>
        <w:t xml:space="preserve"> </w:t>
      </w:r>
      <w:r w:rsidR="00163493" w:rsidRPr="000A55D3">
        <w:rPr>
          <w:rFonts w:ascii="Arial" w:hAnsi="Arial" w:cs="Arial"/>
          <w:b w:val="0"/>
          <w:bCs w:val="0"/>
          <w:szCs w:val="24"/>
        </w:rPr>
        <w:t xml:space="preserve">among </w:t>
      </w:r>
      <w:r w:rsidR="00AF4BA2">
        <w:rPr>
          <w:rFonts w:ascii="Arial" w:hAnsi="Arial" w:cs="Arial"/>
          <w:b w:val="0"/>
          <w:bCs w:val="0"/>
          <w:szCs w:val="24"/>
        </w:rPr>
        <w:t>students in Hebrew education</w:t>
      </w:r>
      <w:r w:rsidR="00163493" w:rsidRPr="000A55D3">
        <w:rPr>
          <w:rFonts w:ascii="Arial" w:hAnsi="Arial" w:cs="Arial"/>
          <w:b w:val="0"/>
          <w:bCs w:val="0"/>
          <w:szCs w:val="24"/>
        </w:rPr>
        <w:t xml:space="preserve"> (</w:t>
      </w:r>
      <w:r w:rsidR="00AF4BA2">
        <w:rPr>
          <w:rFonts w:ascii="Arial" w:hAnsi="Arial" w:cs="Arial"/>
          <w:b w:val="0"/>
          <w:bCs w:val="0"/>
          <w:szCs w:val="24"/>
        </w:rPr>
        <w:t>7</w:t>
      </w:r>
      <w:r w:rsidR="00AC607A">
        <w:rPr>
          <w:rFonts w:ascii="Arial" w:hAnsi="Arial" w:cs="Arial" w:hint="cs"/>
          <w:b w:val="0"/>
          <w:bCs w:val="0"/>
          <w:szCs w:val="24"/>
          <w:rtl/>
        </w:rPr>
        <w:t>3</w:t>
      </w:r>
      <w:r w:rsidR="00AF4BA2">
        <w:rPr>
          <w:rFonts w:ascii="Arial" w:hAnsi="Arial" w:cs="Arial"/>
          <w:b w:val="0"/>
          <w:bCs w:val="0"/>
          <w:szCs w:val="24"/>
        </w:rPr>
        <w:t>.</w:t>
      </w:r>
      <w:r w:rsidR="00AC607A">
        <w:rPr>
          <w:rFonts w:ascii="Arial" w:hAnsi="Arial" w:cs="Arial" w:hint="cs"/>
          <w:b w:val="0"/>
          <w:bCs w:val="0"/>
          <w:szCs w:val="24"/>
          <w:rtl/>
        </w:rPr>
        <w:t>1</w:t>
      </w:r>
      <w:r w:rsidR="00163493" w:rsidRPr="000A55D3">
        <w:rPr>
          <w:rFonts w:ascii="Arial" w:hAnsi="Arial" w:cs="Arial"/>
          <w:b w:val="0"/>
          <w:bCs w:val="0"/>
          <w:szCs w:val="24"/>
        </w:rPr>
        <w:t>%)</w:t>
      </w:r>
      <w:r w:rsidR="003C4D54" w:rsidRPr="000A55D3">
        <w:rPr>
          <w:rFonts w:ascii="Arial" w:hAnsi="Arial" w:cs="Arial"/>
          <w:b w:val="0"/>
          <w:bCs w:val="0"/>
          <w:szCs w:val="24"/>
        </w:rPr>
        <w:t>,</w:t>
      </w:r>
      <w:r w:rsidR="00163493" w:rsidRPr="000A55D3">
        <w:rPr>
          <w:rFonts w:ascii="Arial" w:hAnsi="Arial" w:cs="Arial"/>
          <w:b w:val="0"/>
          <w:bCs w:val="0"/>
          <w:szCs w:val="24"/>
        </w:rPr>
        <w:t>and higher than the percentage of Druze (</w:t>
      </w:r>
      <w:r w:rsidR="00A52C0C">
        <w:rPr>
          <w:rFonts w:ascii="Arial" w:hAnsi="Arial" w:cs="Arial"/>
          <w:b w:val="0"/>
          <w:bCs w:val="0"/>
          <w:szCs w:val="24"/>
        </w:rPr>
        <w:t>6</w:t>
      </w:r>
      <w:r w:rsidR="00AC607A">
        <w:rPr>
          <w:rFonts w:ascii="Arial" w:hAnsi="Arial" w:cs="Arial" w:hint="cs"/>
          <w:b w:val="0"/>
          <w:bCs w:val="0"/>
          <w:szCs w:val="24"/>
          <w:rtl/>
        </w:rPr>
        <w:t>7</w:t>
      </w:r>
      <w:r w:rsidR="00A52C0C">
        <w:rPr>
          <w:rFonts w:ascii="Arial" w:hAnsi="Arial" w:cs="Arial"/>
          <w:b w:val="0"/>
          <w:bCs w:val="0"/>
          <w:szCs w:val="24"/>
        </w:rPr>
        <w:t>.</w:t>
      </w:r>
      <w:r w:rsidR="00AC607A">
        <w:rPr>
          <w:rFonts w:ascii="Arial" w:hAnsi="Arial" w:cs="Arial" w:hint="cs"/>
          <w:b w:val="0"/>
          <w:bCs w:val="0"/>
          <w:szCs w:val="24"/>
          <w:rtl/>
        </w:rPr>
        <w:t>4</w:t>
      </w:r>
      <w:r w:rsidR="003C4D54" w:rsidRPr="000A55D3">
        <w:rPr>
          <w:rFonts w:ascii="Arial" w:hAnsi="Arial" w:cs="Arial"/>
          <w:b w:val="0"/>
          <w:bCs w:val="0"/>
          <w:szCs w:val="24"/>
        </w:rPr>
        <w:t>%</w:t>
      </w:r>
      <w:r w:rsidR="00163493" w:rsidRPr="000A55D3">
        <w:rPr>
          <w:rFonts w:ascii="Arial" w:hAnsi="Arial" w:cs="Arial"/>
          <w:b w:val="0"/>
          <w:bCs w:val="0"/>
          <w:szCs w:val="24"/>
        </w:rPr>
        <w:t>)</w:t>
      </w:r>
      <w:r w:rsidR="003C4D54" w:rsidRPr="000A55D3">
        <w:rPr>
          <w:rFonts w:ascii="Arial" w:hAnsi="Arial" w:cs="Arial"/>
          <w:b w:val="0"/>
          <w:bCs w:val="0"/>
          <w:szCs w:val="24"/>
        </w:rPr>
        <w:t xml:space="preserve"> and Moslems</w:t>
      </w:r>
      <w:r w:rsidR="00572CCF" w:rsidRPr="000A55D3">
        <w:rPr>
          <w:rFonts w:ascii="Arial" w:hAnsi="Arial" w:cs="Arial"/>
          <w:b w:val="0"/>
          <w:bCs w:val="0"/>
          <w:szCs w:val="24"/>
        </w:rPr>
        <w:t xml:space="preserve"> (4</w:t>
      </w:r>
      <w:r w:rsidR="00AC607A">
        <w:rPr>
          <w:rFonts w:ascii="Arial" w:hAnsi="Arial" w:cs="Arial" w:hint="cs"/>
          <w:b w:val="0"/>
          <w:bCs w:val="0"/>
          <w:szCs w:val="24"/>
          <w:rtl/>
        </w:rPr>
        <w:t>7</w:t>
      </w:r>
      <w:r w:rsidR="00572CCF" w:rsidRPr="000A55D3">
        <w:rPr>
          <w:rFonts w:ascii="Arial" w:hAnsi="Arial" w:cs="Arial"/>
          <w:b w:val="0"/>
          <w:bCs w:val="0"/>
          <w:szCs w:val="24"/>
        </w:rPr>
        <w:t>.</w:t>
      </w:r>
      <w:r w:rsidR="00AC607A">
        <w:rPr>
          <w:rFonts w:ascii="Arial" w:hAnsi="Arial" w:cs="Arial" w:hint="cs"/>
          <w:b w:val="0"/>
          <w:bCs w:val="0"/>
          <w:szCs w:val="24"/>
          <w:rtl/>
        </w:rPr>
        <w:t>3</w:t>
      </w:r>
      <w:r w:rsidR="00572CCF" w:rsidRPr="000A55D3">
        <w:rPr>
          <w:rFonts w:ascii="Arial" w:hAnsi="Arial" w:cs="Arial"/>
          <w:b w:val="0"/>
          <w:bCs w:val="0"/>
          <w:szCs w:val="24"/>
        </w:rPr>
        <w:t>%) who</w:t>
      </w:r>
      <w:r w:rsidR="002B7180" w:rsidRPr="000A55D3">
        <w:rPr>
          <w:rFonts w:ascii="Arial" w:hAnsi="Arial" w:cs="Arial"/>
          <w:b w:val="0"/>
          <w:bCs w:val="0"/>
          <w:szCs w:val="24"/>
        </w:rPr>
        <w:t xml:space="preserve"> </w:t>
      </w:r>
      <w:r w:rsidR="0024745E">
        <w:rPr>
          <w:rFonts w:ascii="Arial" w:hAnsi="Arial" w:cs="Arial"/>
          <w:b w:val="0"/>
          <w:bCs w:val="0"/>
          <w:szCs w:val="24"/>
        </w:rPr>
        <w:t>were awarded</w:t>
      </w:r>
      <w:r w:rsidR="002B7180" w:rsidRPr="000A55D3">
        <w:rPr>
          <w:rFonts w:ascii="Arial" w:hAnsi="Arial" w:cs="Arial"/>
          <w:b w:val="0"/>
          <w:bCs w:val="0"/>
          <w:szCs w:val="24"/>
        </w:rPr>
        <w:t xml:space="preserve"> </w:t>
      </w:r>
      <w:r w:rsidR="001572DB">
        <w:rPr>
          <w:rFonts w:ascii="Arial" w:hAnsi="Arial" w:cs="Arial"/>
          <w:b w:val="0"/>
          <w:bCs w:val="0"/>
          <w:szCs w:val="24"/>
        </w:rPr>
        <w:t>the</w:t>
      </w:r>
      <w:r w:rsidR="002B7180" w:rsidRPr="000A55D3">
        <w:rPr>
          <w:rFonts w:ascii="Arial" w:hAnsi="Arial" w:cs="Arial"/>
          <w:b w:val="0"/>
          <w:bCs w:val="0"/>
          <w:szCs w:val="24"/>
        </w:rPr>
        <w:t xml:space="preserve"> certificate.</w:t>
      </w:r>
    </w:p>
    <w:p w14:paraId="48F51B69" w14:textId="77777777" w:rsidR="00A85E14" w:rsidRDefault="00A85E14">
      <w:pPr>
        <w:bidi w:val="0"/>
        <w:rPr>
          <w:rFonts w:ascii="Arial" w:hAnsi="Arial" w:cs="Arial"/>
          <w:color w:val="4F81BD"/>
          <w:szCs w:val="24"/>
        </w:rPr>
      </w:pPr>
      <w:r>
        <w:br w:type="page"/>
      </w:r>
    </w:p>
    <w:p w14:paraId="6D79E1DF" w14:textId="5391777F" w:rsidR="00005A0E" w:rsidRDefault="00C4771A" w:rsidP="00C60593">
      <w:pPr>
        <w:pStyle w:val="Heading2"/>
      </w:pPr>
      <w:r>
        <w:t xml:space="preserve">Going on to </w:t>
      </w:r>
      <w:r w:rsidR="00E6085A">
        <w:t xml:space="preserve">Study for a First Degree Among Christian </w:t>
      </w:r>
      <w:r>
        <w:t xml:space="preserve">Upper Secondary </w:t>
      </w:r>
      <w:r w:rsidR="00E6085A">
        <w:t>School Graduates in 201</w:t>
      </w:r>
      <w:r w:rsidR="00C60593">
        <w:t>1</w:t>
      </w:r>
      <w:r w:rsidR="00E6085A">
        <w:t>/1</w:t>
      </w:r>
      <w:r w:rsidR="00C60593">
        <w:t>2</w:t>
      </w:r>
      <w:r w:rsidR="00011488">
        <w:t xml:space="preserve"> </w:t>
      </w:r>
      <w:r w:rsidR="00E6085A">
        <w:t xml:space="preserve">Within Eight Years of Graduating </w:t>
      </w:r>
      <w:r>
        <w:t xml:space="preserve">Upper Secondary </w:t>
      </w:r>
      <w:r w:rsidR="00E6085A">
        <w:t xml:space="preserve">School (Tracking Until </w:t>
      </w:r>
      <w:r>
        <w:t>201</w:t>
      </w:r>
      <w:r w:rsidR="00C60593">
        <w:t>9</w:t>
      </w:r>
      <w:r>
        <w:t>/</w:t>
      </w:r>
      <w:r w:rsidR="00C60593">
        <w:t>20</w:t>
      </w:r>
      <w:r w:rsidR="00E6085A">
        <w:t>)</w:t>
      </w:r>
    </w:p>
    <w:p w14:paraId="77DB2271" w14:textId="77777777" w:rsidR="00005A0E" w:rsidRDefault="00EB40C3" w:rsidP="00005A0E">
      <w:pPr>
        <w:pStyle w:val="Heading3"/>
      </w:pPr>
      <w:r>
        <w:t>Arab Christians</w:t>
      </w:r>
    </w:p>
    <w:p w14:paraId="2CC541C3" w14:textId="5E9B5B63" w:rsidR="00EF2CB3" w:rsidRDefault="008D4094" w:rsidP="0085630E">
      <w:pPr>
        <w:pStyle w:val="text1"/>
        <w:rPr>
          <w:lang w:eastAsia="he-IL"/>
        </w:rPr>
      </w:pPr>
      <w:r>
        <w:rPr>
          <w:lang w:eastAsia="he-IL"/>
        </w:rPr>
        <w:t>Of the Ar</w:t>
      </w:r>
      <w:r w:rsidR="00144550">
        <w:rPr>
          <w:lang w:eastAsia="he-IL"/>
        </w:rPr>
        <w:t>ab Christians</w:t>
      </w:r>
      <w:r>
        <w:rPr>
          <w:lang w:eastAsia="he-IL"/>
        </w:rPr>
        <w:t>, 5</w:t>
      </w:r>
      <w:r w:rsidR="0085630E">
        <w:rPr>
          <w:lang w:eastAsia="he-IL"/>
        </w:rPr>
        <w:t>3</w:t>
      </w:r>
      <w:r>
        <w:rPr>
          <w:lang w:eastAsia="he-IL"/>
        </w:rPr>
        <w:t>.</w:t>
      </w:r>
      <w:r w:rsidR="0085630E">
        <w:rPr>
          <w:lang w:eastAsia="he-IL"/>
        </w:rPr>
        <w:t>1</w:t>
      </w:r>
      <w:r>
        <w:rPr>
          <w:lang w:eastAsia="he-IL"/>
        </w:rPr>
        <w:t xml:space="preserve">% </w:t>
      </w:r>
      <w:r w:rsidR="00144550">
        <w:rPr>
          <w:lang w:eastAsia="he-IL"/>
        </w:rPr>
        <w:t>went on to study for a first degree within eight years of graduation</w:t>
      </w:r>
      <w:r w:rsidR="008108D1">
        <w:rPr>
          <w:lang w:eastAsia="he-IL"/>
        </w:rPr>
        <w:t xml:space="preserve"> from </w:t>
      </w:r>
      <w:r w:rsidR="00C4771A">
        <w:rPr>
          <w:lang w:eastAsia="he-IL"/>
        </w:rPr>
        <w:t xml:space="preserve">upper secondary </w:t>
      </w:r>
      <w:r w:rsidR="008108D1">
        <w:rPr>
          <w:lang w:eastAsia="he-IL"/>
        </w:rPr>
        <w:t>school</w:t>
      </w:r>
      <w:r w:rsidR="00144550">
        <w:rPr>
          <w:lang w:eastAsia="he-IL"/>
        </w:rPr>
        <w:t>, compared to only 3</w:t>
      </w:r>
      <w:r w:rsidR="0085630E">
        <w:rPr>
          <w:lang w:eastAsia="he-IL"/>
        </w:rPr>
        <w:t>4</w:t>
      </w:r>
      <w:r w:rsidR="00144550">
        <w:rPr>
          <w:lang w:eastAsia="he-IL"/>
        </w:rPr>
        <w:t>.</w:t>
      </w:r>
      <w:r w:rsidR="0085630E">
        <w:rPr>
          <w:lang w:eastAsia="he-IL"/>
        </w:rPr>
        <w:t>0</w:t>
      </w:r>
      <w:r w:rsidR="00144550">
        <w:rPr>
          <w:lang w:eastAsia="he-IL"/>
        </w:rPr>
        <w:t xml:space="preserve">% of all </w:t>
      </w:r>
      <w:r w:rsidR="00C4771A">
        <w:rPr>
          <w:lang w:eastAsia="he-IL"/>
        </w:rPr>
        <w:t>upper secondary school</w:t>
      </w:r>
      <w:r w:rsidR="005F18AD">
        <w:rPr>
          <w:lang w:eastAsia="he-IL"/>
        </w:rPr>
        <w:t xml:space="preserve"> graduates in Arab education.</w:t>
      </w:r>
    </w:p>
    <w:p w14:paraId="2678A14B" w14:textId="67987B3B" w:rsidR="00C5302E" w:rsidRDefault="00C5302E" w:rsidP="0085630E">
      <w:pPr>
        <w:pStyle w:val="text1"/>
        <w:rPr>
          <w:lang w:eastAsia="he-IL"/>
        </w:rPr>
      </w:pPr>
      <w:r>
        <w:rPr>
          <w:lang w:eastAsia="he-IL"/>
        </w:rPr>
        <w:t xml:space="preserve">The percentage of Arab Christians </w:t>
      </w:r>
      <w:r w:rsidR="00AB693C">
        <w:rPr>
          <w:lang w:eastAsia="he-IL"/>
        </w:rPr>
        <w:t xml:space="preserve">who attended universities, of the total number of Arab Christians who went on to study for a first degree, was much higher </w:t>
      </w:r>
      <w:r w:rsidR="00645627">
        <w:rPr>
          <w:lang w:eastAsia="he-IL"/>
        </w:rPr>
        <w:t xml:space="preserve">than the percentage of </w:t>
      </w:r>
      <w:r w:rsidR="00D94712">
        <w:rPr>
          <w:lang w:eastAsia="he-IL"/>
        </w:rPr>
        <w:t xml:space="preserve">students in Arab education who went on to study for a first degree at the universities </w:t>
      </w:r>
      <w:r w:rsidR="005448BE">
        <w:rPr>
          <w:lang w:eastAsia="he-IL"/>
        </w:rPr>
        <w:t>(</w:t>
      </w:r>
      <w:r w:rsidR="0085630E">
        <w:rPr>
          <w:lang w:eastAsia="he-IL"/>
        </w:rPr>
        <w:t>44</w:t>
      </w:r>
      <w:r w:rsidR="005448BE">
        <w:rPr>
          <w:lang w:eastAsia="he-IL"/>
        </w:rPr>
        <w:t>.</w:t>
      </w:r>
      <w:r w:rsidR="0085630E">
        <w:rPr>
          <w:lang w:eastAsia="he-IL"/>
        </w:rPr>
        <w:t>8</w:t>
      </w:r>
      <w:r w:rsidR="005448BE">
        <w:rPr>
          <w:lang w:eastAsia="he-IL"/>
        </w:rPr>
        <w:t>% and 3</w:t>
      </w:r>
      <w:r w:rsidR="0085630E">
        <w:rPr>
          <w:lang w:eastAsia="he-IL"/>
        </w:rPr>
        <w:t>2</w:t>
      </w:r>
      <w:r w:rsidR="005448BE">
        <w:rPr>
          <w:lang w:eastAsia="he-IL"/>
        </w:rPr>
        <w:t>.</w:t>
      </w:r>
      <w:r w:rsidR="0085630E">
        <w:rPr>
          <w:lang w:eastAsia="he-IL"/>
        </w:rPr>
        <w:t>3</w:t>
      </w:r>
      <w:r w:rsidR="005448BE">
        <w:rPr>
          <w:lang w:eastAsia="he-IL"/>
        </w:rPr>
        <w:t xml:space="preserve">%, respectively). The percentage of </w:t>
      </w:r>
      <w:r w:rsidR="00CB08B9">
        <w:rPr>
          <w:lang w:eastAsia="he-IL"/>
        </w:rPr>
        <w:t>Arab Christians</w:t>
      </w:r>
      <w:r w:rsidR="005448BE">
        <w:rPr>
          <w:lang w:eastAsia="he-IL"/>
        </w:rPr>
        <w:t xml:space="preserve"> who went on to study for a first degree at the </w:t>
      </w:r>
      <w:r w:rsidR="00CB08B9">
        <w:rPr>
          <w:lang w:eastAsia="he-IL"/>
        </w:rPr>
        <w:t xml:space="preserve">academic colleges was slightly higher </w:t>
      </w:r>
      <w:r w:rsidR="00C4588C">
        <w:rPr>
          <w:lang w:eastAsia="he-IL"/>
        </w:rPr>
        <w:t xml:space="preserve">than the percentage of all students in Arab education </w:t>
      </w:r>
      <w:r w:rsidR="003B163F">
        <w:rPr>
          <w:lang w:eastAsia="he-IL"/>
        </w:rPr>
        <w:t>(3</w:t>
      </w:r>
      <w:r w:rsidR="0085630E">
        <w:rPr>
          <w:lang w:eastAsia="he-IL"/>
        </w:rPr>
        <w:t>5</w:t>
      </w:r>
      <w:r w:rsidR="003B163F">
        <w:rPr>
          <w:lang w:eastAsia="he-IL"/>
        </w:rPr>
        <w:t>.</w:t>
      </w:r>
      <w:r w:rsidR="0085630E">
        <w:rPr>
          <w:lang w:eastAsia="he-IL"/>
        </w:rPr>
        <w:t>9</w:t>
      </w:r>
      <w:r w:rsidR="003B163F">
        <w:rPr>
          <w:lang w:eastAsia="he-IL"/>
        </w:rPr>
        <w:t xml:space="preserve">% and </w:t>
      </w:r>
      <w:r w:rsidR="0085630E">
        <w:rPr>
          <w:lang w:eastAsia="he-IL"/>
        </w:rPr>
        <w:t>31</w:t>
      </w:r>
      <w:r w:rsidR="003B163F">
        <w:rPr>
          <w:lang w:eastAsia="he-IL"/>
        </w:rPr>
        <w:t>.</w:t>
      </w:r>
      <w:r w:rsidR="0085630E">
        <w:rPr>
          <w:lang w:eastAsia="he-IL"/>
        </w:rPr>
        <w:t>8</w:t>
      </w:r>
      <w:r w:rsidR="003B163F">
        <w:rPr>
          <w:lang w:eastAsia="he-IL"/>
        </w:rPr>
        <w:t xml:space="preserve">%, respectively). </w:t>
      </w:r>
      <w:r w:rsidR="00D24F25">
        <w:rPr>
          <w:lang w:eastAsia="he-IL"/>
        </w:rPr>
        <w:t xml:space="preserve">The percentage of Arab Christians who went on to study for a first degree at the Open University </w:t>
      </w:r>
      <w:r w:rsidR="004003AC">
        <w:rPr>
          <w:lang w:eastAsia="he-IL"/>
        </w:rPr>
        <w:t xml:space="preserve">was much lower </w:t>
      </w:r>
      <w:r w:rsidR="00CD443F">
        <w:rPr>
          <w:lang w:eastAsia="he-IL"/>
        </w:rPr>
        <w:t>than the percentage of all the students in Arab education (</w:t>
      </w:r>
      <w:r w:rsidR="0085630E">
        <w:rPr>
          <w:lang w:eastAsia="he-IL"/>
        </w:rPr>
        <w:t>10</w:t>
      </w:r>
      <w:r w:rsidR="00CD443F">
        <w:rPr>
          <w:lang w:eastAsia="he-IL"/>
        </w:rPr>
        <w:t>.9% and 1</w:t>
      </w:r>
      <w:r w:rsidR="0085630E">
        <w:rPr>
          <w:lang w:eastAsia="he-IL"/>
        </w:rPr>
        <w:t>9</w:t>
      </w:r>
      <w:r w:rsidR="00CD443F">
        <w:rPr>
          <w:lang w:eastAsia="he-IL"/>
        </w:rPr>
        <w:t>.3%, respectively).</w:t>
      </w:r>
    </w:p>
    <w:p w14:paraId="7CD090B6" w14:textId="0C0396C5" w:rsidR="00CD443F" w:rsidRDefault="00ED08AB" w:rsidP="008F32DF">
      <w:pPr>
        <w:pStyle w:val="text1"/>
        <w:rPr>
          <w:lang w:eastAsia="he-IL"/>
        </w:rPr>
      </w:pPr>
      <w:r>
        <w:rPr>
          <w:lang w:eastAsia="he-IL"/>
        </w:rPr>
        <w:t xml:space="preserve">A </w:t>
      </w:r>
      <w:r w:rsidR="00682492">
        <w:rPr>
          <w:lang w:eastAsia="he-IL"/>
        </w:rPr>
        <w:t>small</w:t>
      </w:r>
      <w:r w:rsidR="00C07881">
        <w:rPr>
          <w:lang w:eastAsia="he-IL"/>
        </w:rPr>
        <w:t xml:space="preserve"> percentage of </w:t>
      </w:r>
      <w:r w:rsidR="00F840FB">
        <w:rPr>
          <w:lang w:eastAsia="he-IL"/>
        </w:rPr>
        <w:t xml:space="preserve">Arab Christian students </w:t>
      </w:r>
      <w:r>
        <w:rPr>
          <w:lang w:eastAsia="he-IL"/>
        </w:rPr>
        <w:t xml:space="preserve">chose to continue their studies at </w:t>
      </w:r>
      <w:r w:rsidR="007660A1">
        <w:rPr>
          <w:lang w:eastAsia="he-IL"/>
        </w:rPr>
        <w:t>the academic colleges of education</w:t>
      </w:r>
      <w:r w:rsidR="00546E91">
        <w:rPr>
          <w:lang w:eastAsia="he-IL"/>
        </w:rPr>
        <w:t xml:space="preserve"> – 8.</w:t>
      </w:r>
      <w:r w:rsidR="008F32DF">
        <w:rPr>
          <w:lang w:eastAsia="he-IL"/>
        </w:rPr>
        <w:t>4</w:t>
      </w:r>
      <w:r w:rsidR="00546E91">
        <w:rPr>
          <w:lang w:eastAsia="he-IL"/>
        </w:rPr>
        <w:t>% compared to 1</w:t>
      </w:r>
      <w:r w:rsidR="008F32DF">
        <w:rPr>
          <w:lang w:eastAsia="he-IL"/>
        </w:rPr>
        <w:t>6.7</w:t>
      </w:r>
      <w:r w:rsidR="00546E91">
        <w:rPr>
          <w:lang w:eastAsia="he-IL"/>
        </w:rPr>
        <w:t>% of the total number of students in Arab education.</w:t>
      </w:r>
    </w:p>
    <w:p w14:paraId="684C877B" w14:textId="19A83F56" w:rsidR="006B3411" w:rsidRDefault="006B3411" w:rsidP="006B3411">
      <w:pPr>
        <w:pStyle w:val="Heading3"/>
      </w:pPr>
      <w:r>
        <w:t>Non-Arab Christians</w:t>
      </w:r>
    </w:p>
    <w:p w14:paraId="5AF67324" w14:textId="4BE3B531" w:rsidR="006B3411" w:rsidRDefault="002F2F04" w:rsidP="0032273F">
      <w:pPr>
        <w:pStyle w:val="text1"/>
        <w:rPr>
          <w:lang w:eastAsia="he-IL"/>
        </w:rPr>
      </w:pPr>
      <w:r>
        <w:rPr>
          <w:lang w:eastAsia="he-IL"/>
        </w:rPr>
        <w:t>Only 3</w:t>
      </w:r>
      <w:r w:rsidR="0032273F">
        <w:rPr>
          <w:lang w:eastAsia="he-IL"/>
        </w:rPr>
        <w:t>5</w:t>
      </w:r>
      <w:r>
        <w:rPr>
          <w:lang w:eastAsia="he-IL"/>
        </w:rPr>
        <w:t>.</w:t>
      </w:r>
      <w:r w:rsidR="0032273F">
        <w:rPr>
          <w:lang w:eastAsia="he-IL"/>
        </w:rPr>
        <w:t>4</w:t>
      </w:r>
      <w:r>
        <w:rPr>
          <w:lang w:eastAsia="he-IL"/>
        </w:rPr>
        <w:t xml:space="preserve">% of the non-Arab Christians went on to </w:t>
      </w:r>
      <w:r w:rsidR="007E456C">
        <w:rPr>
          <w:lang w:eastAsia="he-IL"/>
        </w:rPr>
        <w:t>study for a first degree within eight years of graduating high school</w:t>
      </w:r>
      <w:r w:rsidR="00E34548">
        <w:rPr>
          <w:lang w:eastAsia="he-IL"/>
        </w:rPr>
        <w:t xml:space="preserve">, compared to 47.2% of all high-school graduates in </w:t>
      </w:r>
      <w:r w:rsidR="00FB1BC5">
        <w:rPr>
          <w:lang w:eastAsia="he-IL"/>
        </w:rPr>
        <w:t>Hebrew</w:t>
      </w:r>
      <w:r w:rsidR="00E34548">
        <w:rPr>
          <w:lang w:eastAsia="he-IL"/>
        </w:rPr>
        <w:t xml:space="preserve"> education.</w:t>
      </w:r>
    </w:p>
    <w:p w14:paraId="3BAC16C7" w14:textId="525EE7F0" w:rsidR="00E34548" w:rsidRDefault="002B1D56" w:rsidP="00EC55E1">
      <w:pPr>
        <w:pStyle w:val="text1"/>
        <w:rPr>
          <w:lang w:eastAsia="he-IL"/>
        </w:rPr>
      </w:pPr>
      <w:r>
        <w:rPr>
          <w:lang w:eastAsia="he-IL"/>
        </w:rPr>
        <w:t xml:space="preserve">The percentage of </w:t>
      </w:r>
      <w:r w:rsidR="00766C69">
        <w:rPr>
          <w:lang w:eastAsia="he-IL"/>
        </w:rPr>
        <w:t>non-Arab Christians</w:t>
      </w:r>
      <w:r w:rsidR="0091257A">
        <w:rPr>
          <w:lang w:eastAsia="he-IL"/>
        </w:rPr>
        <w:t xml:space="preserve"> who attended universities, </w:t>
      </w:r>
      <w:r w:rsidR="009468D7">
        <w:rPr>
          <w:lang w:eastAsia="he-IL"/>
        </w:rPr>
        <w:t xml:space="preserve">out of the total number of </w:t>
      </w:r>
      <w:r w:rsidR="00CB652D">
        <w:rPr>
          <w:lang w:eastAsia="he-IL"/>
        </w:rPr>
        <w:t xml:space="preserve">non-Arab Christians who </w:t>
      </w:r>
      <w:r w:rsidR="003B47A5">
        <w:rPr>
          <w:lang w:eastAsia="he-IL"/>
        </w:rPr>
        <w:t>went on to study for a first degree</w:t>
      </w:r>
      <w:r w:rsidR="009934F3">
        <w:rPr>
          <w:lang w:eastAsia="he-IL"/>
        </w:rPr>
        <w:t xml:space="preserve">, was slightly lower than the parallel percentage of the total number of students in </w:t>
      </w:r>
      <w:r w:rsidR="00707E6F">
        <w:rPr>
          <w:lang w:eastAsia="he-IL"/>
        </w:rPr>
        <w:t>Hebrew</w:t>
      </w:r>
      <w:r w:rsidR="009934F3">
        <w:rPr>
          <w:lang w:eastAsia="he-IL"/>
        </w:rPr>
        <w:t xml:space="preserve"> education (3</w:t>
      </w:r>
      <w:r w:rsidR="00EC55E1">
        <w:rPr>
          <w:lang w:eastAsia="he-IL"/>
        </w:rPr>
        <w:t>3</w:t>
      </w:r>
      <w:r w:rsidR="009934F3">
        <w:rPr>
          <w:lang w:eastAsia="he-IL"/>
        </w:rPr>
        <w:t>.</w:t>
      </w:r>
      <w:r w:rsidR="00EC55E1">
        <w:rPr>
          <w:lang w:eastAsia="he-IL"/>
        </w:rPr>
        <w:t>3</w:t>
      </w:r>
      <w:r w:rsidR="009934F3">
        <w:rPr>
          <w:lang w:eastAsia="he-IL"/>
        </w:rPr>
        <w:t>% and 3</w:t>
      </w:r>
      <w:r w:rsidR="00EC55E1">
        <w:rPr>
          <w:lang w:eastAsia="he-IL"/>
        </w:rPr>
        <w:t>4</w:t>
      </w:r>
      <w:r w:rsidR="009934F3">
        <w:rPr>
          <w:lang w:eastAsia="he-IL"/>
        </w:rPr>
        <w:t>.</w:t>
      </w:r>
      <w:r w:rsidR="00EC55E1">
        <w:rPr>
          <w:lang w:eastAsia="he-IL"/>
        </w:rPr>
        <w:t>6</w:t>
      </w:r>
      <w:r w:rsidR="009934F3">
        <w:rPr>
          <w:lang w:eastAsia="he-IL"/>
        </w:rPr>
        <w:t xml:space="preserve">%, respectively). The percentage of </w:t>
      </w:r>
      <w:r w:rsidR="00631821">
        <w:rPr>
          <w:lang w:eastAsia="he-IL"/>
        </w:rPr>
        <w:t>non-Arab Christians</w:t>
      </w:r>
      <w:r w:rsidR="009934F3">
        <w:rPr>
          <w:lang w:eastAsia="he-IL"/>
        </w:rPr>
        <w:t xml:space="preserve"> who went on to </w:t>
      </w:r>
      <w:r w:rsidR="00631821">
        <w:rPr>
          <w:lang w:eastAsia="he-IL"/>
        </w:rPr>
        <w:t xml:space="preserve">study for a first degree in the academic colleges was also slightly lower than </w:t>
      </w:r>
      <w:r w:rsidR="003947D9">
        <w:rPr>
          <w:lang w:eastAsia="he-IL"/>
        </w:rPr>
        <w:t xml:space="preserve">the percentage of </w:t>
      </w:r>
      <w:r w:rsidR="00C82A93">
        <w:rPr>
          <w:lang w:eastAsia="he-IL"/>
        </w:rPr>
        <w:t xml:space="preserve">all students in </w:t>
      </w:r>
      <w:r w:rsidR="00707E6F">
        <w:rPr>
          <w:lang w:eastAsia="he-IL"/>
        </w:rPr>
        <w:t>Hebrew</w:t>
      </w:r>
      <w:r w:rsidR="00C82A93">
        <w:rPr>
          <w:lang w:eastAsia="he-IL"/>
        </w:rPr>
        <w:t xml:space="preserve"> education (38.</w:t>
      </w:r>
      <w:r w:rsidR="00EC55E1">
        <w:rPr>
          <w:lang w:eastAsia="he-IL"/>
        </w:rPr>
        <w:t>1</w:t>
      </w:r>
      <w:r w:rsidR="00C82A93">
        <w:rPr>
          <w:lang w:eastAsia="he-IL"/>
        </w:rPr>
        <w:t>% and 40.</w:t>
      </w:r>
      <w:r w:rsidR="00EC55E1">
        <w:rPr>
          <w:lang w:eastAsia="he-IL"/>
        </w:rPr>
        <w:t>9</w:t>
      </w:r>
      <w:r w:rsidR="00C82A93">
        <w:rPr>
          <w:lang w:eastAsia="he-IL"/>
        </w:rPr>
        <w:t xml:space="preserve">%, respectively). The percentage of </w:t>
      </w:r>
      <w:r w:rsidR="00456AFF">
        <w:rPr>
          <w:lang w:eastAsia="he-IL"/>
        </w:rPr>
        <w:t xml:space="preserve">non-Arab Christians who went on to study for a first degree at the Open University was </w:t>
      </w:r>
      <w:r w:rsidR="00FB1BC5">
        <w:rPr>
          <w:lang w:eastAsia="he-IL"/>
        </w:rPr>
        <w:t xml:space="preserve">substantially </w:t>
      </w:r>
      <w:r w:rsidR="00456AFF">
        <w:rPr>
          <w:lang w:eastAsia="he-IL"/>
        </w:rPr>
        <w:t xml:space="preserve">higher than </w:t>
      </w:r>
      <w:r w:rsidR="00707E6F">
        <w:rPr>
          <w:lang w:eastAsia="he-IL"/>
        </w:rPr>
        <w:t xml:space="preserve">the percentage of all the </w:t>
      </w:r>
      <w:r w:rsidR="00CA1EFC">
        <w:rPr>
          <w:lang w:eastAsia="he-IL"/>
        </w:rPr>
        <w:t>students in Hebrew education (2</w:t>
      </w:r>
      <w:r w:rsidR="00EC55E1">
        <w:rPr>
          <w:lang w:eastAsia="he-IL"/>
        </w:rPr>
        <w:t>0</w:t>
      </w:r>
      <w:r w:rsidR="00CA1EFC">
        <w:rPr>
          <w:lang w:eastAsia="he-IL"/>
        </w:rPr>
        <w:t>.</w:t>
      </w:r>
      <w:r w:rsidR="00EC55E1">
        <w:rPr>
          <w:lang w:eastAsia="he-IL"/>
        </w:rPr>
        <w:t>6</w:t>
      </w:r>
      <w:r w:rsidR="00CA1EFC">
        <w:rPr>
          <w:lang w:eastAsia="he-IL"/>
        </w:rPr>
        <w:t>% and 11.</w:t>
      </w:r>
      <w:r w:rsidR="00EC55E1">
        <w:rPr>
          <w:lang w:eastAsia="he-IL"/>
        </w:rPr>
        <w:t>9</w:t>
      </w:r>
      <w:r w:rsidR="00CA1EFC">
        <w:rPr>
          <w:lang w:eastAsia="he-IL"/>
        </w:rPr>
        <w:t>%, respectively).</w:t>
      </w:r>
    </w:p>
    <w:p w14:paraId="53F29CF2" w14:textId="30FAC67C" w:rsidR="008E443A" w:rsidRDefault="008E443A" w:rsidP="00EC55E1">
      <w:pPr>
        <w:pStyle w:val="text1"/>
        <w:rPr>
          <w:lang w:eastAsia="he-IL"/>
        </w:rPr>
      </w:pPr>
      <w:r>
        <w:rPr>
          <w:lang w:eastAsia="he-IL"/>
        </w:rPr>
        <w:t xml:space="preserve">A particularly low percentage of </w:t>
      </w:r>
      <w:r w:rsidR="00472E8A">
        <w:rPr>
          <w:lang w:eastAsia="he-IL"/>
        </w:rPr>
        <w:t xml:space="preserve">the </w:t>
      </w:r>
      <w:r>
        <w:rPr>
          <w:lang w:eastAsia="he-IL"/>
        </w:rPr>
        <w:t xml:space="preserve">non-Arab Christian students </w:t>
      </w:r>
      <w:r w:rsidR="00472E8A">
        <w:rPr>
          <w:lang w:eastAsia="he-IL"/>
        </w:rPr>
        <w:t xml:space="preserve">chose to </w:t>
      </w:r>
      <w:r w:rsidR="00822105">
        <w:rPr>
          <w:lang w:eastAsia="he-IL"/>
        </w:rPr>
        <w:t xml:space="preserve">continue their studies in the academic colleges of education – </w:t>
      </w:r>
      <w:r w:rsidR="00EC55E1">
        <w:rPr>
          <w:lang w:eastAsia="he-IL"/>
        </w:rPr>
        <w:t>7</w:t>
      </w:r>
      <w:r w:rsidR="00822105">
        <w:rPr>
          <w:lang w:eastAsia="he-IL"/>
        </w:rPr>
        <w:t>.</w:t>
      </w:r>
      <w:r w:rsidR="00EC55E1">
        <w:rPr>
          <w:lang w:eastAsia="he-IL"/>
        </w:rPr>
        <w:t>9</w:t>
      </w:r>
      <w:r w:rsidR="00822105">
        <w:rPr>
          <w:lang w:eastAsia="he-IL"/>
        </w:rPr>
        <w:t>%, compared with 12.</w:t>
      </w:r>
      <w:r w:rsidR="00EC55E1">
        <w:rPr>
          <w:lang w:eastAsia="he-IL"/>
        </w:rPr>
        <w:t>5</w:t>
      </w:r>
      <w:r w:rsidR="00822105">
        <w:rPr>
          <w:lang w:eastAsia="he-IL"/>
        </w:rPr>
        <w:t xml:space="preserve">% of </w:t>
      </w:r>
      <w:r w:rsidR="007C470E">
        <w:rPr>
          <w:lang w:eastAsia="he-IL"/>
        </w:rPr>
        <w:t>the total number of</w:t>
      </w:r>
      <w:r w:rsidR="00822105">
        <w:rPr>
          <w:lang w:eastAsia="he-IL"/>
        </w:rPr>
        <w:t xml:space="preserve"> students in Hebrew education.</w:t>
      </w:r>
    </w:p>
    <w:p w14:paraId="1D7BC2CA" w14:textId="45DE11AD" w:rsidR="001314B7" w:rsidRDefault="001314B7" w:rsidP="0060158A">
      <w:pPr>
        <w:pStyle w:val="diagramheading"/>
        <w:spacing w:line="240" w:lineRule="auto"/>
      </w:pPr>
      <w:r>
        <w:t xml:space="preserve">Table </w:t>
      </w:r>
      <w:r w:rsidR="0060158A">
        <w:t xml:space="preserve">C </w:t>
      </w:r>
      <w:r w:rsidR="009A5B5D">
        <w:t>-</w:t>
      </w:r>
      <w:r>
        <w:t xml:space="preserve"> </w:t>
      </w:r>
      <w:r w:rsidRPr="00C4771A">
        <w:t>Persons Who Go on to Study for</w:t>
      </w:r>
      <w:r>
        <w:t xml:space="preserve"> a First Degree Among All </w:t>
      </w:r>
      <w:r w:rsidR="00D73788">
        <w:t xml:space="preserve">Upper Secondary </w:t>
      </w:r>
      <w:r>
        <w:t xml:space="preserve">School Graduates and Among Christian </w:t>
      </w:r>
      <w:r w:rsidR="00D73788">
        <w:t xml:space="preserve">Upper Secondary </w:t>
      </w:r>
      <w:r>
        <w:t xml:space="preserve">School Graduates (Arab and Non-Arab Christians) Within Eight Years </w:t>
      </w:r>
      <w:r w:rsidR="00D73788">
        <w:t>after Completing</w:t>
      </w:r>
      <w:r>
        <w:t xml:space="preserve"> School (201</w:t>
      </w:r>
      <w:r w:rsidR="0059472B">
        <w:t>1</w:t>
      </w:r>
      <w:r>
        <w:t>/1</w:t>
      </w:r>
      <w:r w:rsidR="0059472B">
        <w:t>2</w:t>
      </w:r>
      <w:r>
        <w:t>), by Type of Institution</w:t>
      </w:r>
    </w:p>
    <w:tbl>
      <w:tblPr>
        <w:tblW w:w="9814" w:type="dxa"/>
        <w:jc w:val="center"/>
        <w:tblLook w:val="04A0" w:firstRow="1" w:lastRow="0" w:firstColumn="1" w:lastColumn="0" w:noHBand="0" w:noVBand="1"/>
        <w:tblCaption w:val="Table C - Persons Who Go on to Study for a First Degree Among All Upper Secondary School Graduates and Among Christian Upper Secondary School Graduates (Arab and Non-Arab Christians) Within Eight Years after Completing School (2011/12), by Type of Institution"/>
        <w:tblDescription w:val="Table C - Persons Who Go on to Study for a First Degree Among All Upper Secondary School Graduates and Among Christian Upper Secondary School Graduates (Arab and Non-Arab Christians) Within Eight Years after Completing School (2011/12), by Type of Institution"/>
      </w:tblPr>
      <w:tblGrid>
        <w:gridCol w:w="3870"/>
        <w:gridCol w:w="1530"/>
        <w:gridCol w:w="1530"/>
        <w:gridCol w:w="1390"/>
        <w:gridCol w:w="1494"/>
      </w:tblGrid>
      <w:tr w:rsidR="00C80609" w:rsidRPr="00756BE8" w14:paraId="0791BDBC" w14:textId="77777777" w:rsidTr="001876B3">
        <w:trPr>
          <w:trHeight w:val="960"/>
          <w:tblHeader/>
          <w:jc w:val="center"/>
        </w:trPr>
        <w:tc>
          <w:tcPr>
            <w:tcW w:w="3870" w:type="dxa"/>
            <w:tcBorders>
              <w:top w:val="single" w:sz="4" w:space="0" w:color="auto"/>
              <w:bottom w:val="single" w:sz="8" w:space="0" w:color="auto"/>
              <w:right w:val="single" w:sz="8" w:space="0" w:color="auto"/>
            </w:tcBorders>
            <w:shd w:val="clear" w:color="auto" w:fill="auto"/>
            <w:vAlign w:val="center"/>
            <w:hideMark/>
          </w:tcPr>
          <w:p w14:paraId="2FEC6ED0" w14:textId="1F5D0271" w:rsidR="00C80609" w:rsidRPr="00756BE8" w:rsidRDefault="000C76B7" w:rsidP="00D96635">
            <w:pPr>
              <w:bidi w:val="0"/>
              <w:spacing w:before="80" w:after="80"/>
              <w:rPr>
                <w:rFonts w:ascii="Arial" w:hAnsi="Arial" w:cs="Arial"/>
                <w:color w:val="000000"/>
                <w:szCs w:val="24"/>
                <w:lang w:eastAsia="en-US"/>
              </w:rPr>
            </w:pPr>
            <w:r>
              <w:rPr>
                <w:rFonts w:ascii="Arial" w:hAnsi="Arial" w:cs="Arial"/>
                <w:color w:val="000000"/>
                <w:szCs w:val="24"/>
                <w:lang w:eastAsia="en-US"/>
              </w:rPr>
              <w:t>-</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C63FA94" w14:textId="77777777" w:rsidR="00C80609" w:rsidRPr="00756BE8" w:rsidRDefault="00C80609" w:rsidP="00D96635">
            <w:pPr>
              <w:bidi w:val="0"/>
              <w:spacing w:before="80" w:after="80"/>
              <w:jc w:val="center"/>
              <w:rPr>
                <w:rFonts w:ascii="Arial" w:hAnsi="Arial" w:cs="Arial"/>
                <w:b w:val="0"/>
                <w:bCs w:val="0"/>
                <w:color w:val="000000"/>
                <w:szCs w:val="24"/>
                <w:lang w:eastAsia="en-US"/>
              </w:rPr>
            </w:pPr>
            <w:r>
              <w:rPr>
                <w:rFonts w:ascii="Arial" w:hAnsi="Arial" w:cs="Arial"/>
                <w:color w:val="000000"/>
                <w:szCs w:val="24"/>
                <w:lang w:eastAsia="en-US"/>
              </w:rPr>
              <w:t>Hebrew Education, Total</w:t>
            </w:r>
          </w:p>
        </w:tc>
        <w:tc>
          <w:tcPr>
            <w:tcW w:w="153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290D183" w14:textId="77777777" w:rsidR="00C80609" w:rsidRPr="00756BE8" w:rsidRDefault="00C80609" w:rsidP="00D96635">
            <w:pPr>
              <w:bidi w:val="0"/>
              <w:spacing w:before="80" w:after="80"/>
              <w:jc w:val="center"/>
              <w:rPr>
                <w:rFonts w:ascii="Arial" w:hAnsi="Arial" w:cs="Arial"/>
                <w:b w:val="0"/>
                <w:bCs w:val="0"/>
                <w:color w:val="000000"/>
                <w:szCs w:val="24"/>
                <w:lang w:eastAsia="en-US"/>
              </w:rPr>
            </w:pPr>
            <w:r>
              <w:rPr>
                <w:rFonts w:ascii="Arial" w:hAnsi="Arial" w:cs="Arial"/>
                <w:color w:val="000000"/>
                <w:szCs w:val="24"/>
                <w:lang w:eastAsia="en-US"/>
              </w:rPr>
              <w:t>Arab Education, Total</w:t>
            </w:r>
          </w:p>
        </w:tc>
        <w:tc>
          <w:tcPr>
            <w:tcW w:w="139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8C26EF3" w14:textId="77777777" w:rsidR="00C80609" w:rsidRPr="00756BE8" w:rsidRDefault="00C80609" w:rsidP="00D96635">
            <w:pPr>
              <w:bidi w:val="0"/>
              <w:spacing w:before="80" w:after="80"/>
              <w:jc w:val="center"/>
              <w:rPr>
                <w:rFonts w:ascii="Arial" w:hAnsi="Arial" w:cs="Arial"/>
                <w:color w:val="000000"/>
                <w:szCs w:val="24"/>
                <w:lang w:eastAsia="en-US"/>
              </w:rPr>
            </w:pPr>
            <w:r>
              <w:rPr>
                <w:rFonts w:ascii="Arial" w:hAnsi="Arial" w:cs="Arial"/>
                <w:color w:val="000000"/>
                <w:szCs w:val="24"/>
                <w:lang w:eastAsia="en-US"/>
              </w:rPr>
              <w:t>Arab Christians</w:t>
            </w:r>
          </w:p>
        </w:tc>
        <w:tc>
          <w:tcPr>
            <w:tcW w:w="1494" w:type="dxa"/>
            <w:tcBorders>
              <w:top w:val="single" w:sz="4" w:space="0" w:color="auto"/>
              <w:left w:val="single" w:sz="8" w:space="0" w:color="auto"/>
              <w:bottom w:val="single" w:sz="8" w:space="0" w:color="auto"/>
            </w:tcBorders>
            <w:shd w:val="clear" w:color="auto" w:fill="auto"/>
            <w:vAlign w:val="center"/>
            <w:hideMark/>
          </w:tcPr>
          <w:p w14:paraId="66272A61" w14:textId="77777777" w:rsidR="00C80609" w:rsidRPr="00756BE8" w:rsidRDefault="00C80609" w:rsidP="00D96635">
            <w:pPr>
              <w:bidi w:val="0"/>
              <w:spacing w:before="80" w:after="80"/>
              <w:jc w:val="center"/>
              <w:rPr>
                <w:rFonts w:ascii="Arial" w:hAnsi="Arial" w:cs="Arial"/>
                <w:color w:val="000000"/>
                <w:szCs w:val="24"/>
                <w:lang w:eastAsia="en-US"/>
              </w:rPr>
            </w:pPr>
            <w:r>
              <w:rPr>
                <w:rFonts w:ascii="Arial" w:hAnsi="Arial" w:cs="Arial"/>
                <w:color w:val="000000"/>
                <w:szCs w:val="24"/>
                <w:lang w:eastAsia="en-US"/>
              </w:rPr>
              <w:t>Non-Arab Christians</w:t>
            </w:r>
          </w:p>
        </w:tc>
      </w:tr>
      <w:tr w:rsidR="000B2E6A" w:rsidRPr="00756BE8" w14:paraId="26D40609" w14:textId="77777777" w:rsidTr="001876B3">
        <w:trPr>
          <w:trHeight w:val="615"/>
          <w:jc w:val="center"/>
        </w:trPr>
        <w:tc>
          <w:tcPr>
            <w:tcW w:w="3870" w:type="dxa"/>
            <w:tcBorders>
              <w:top w:val="single" w:sz="8" w:space="0" w:color="auto"/>
              <w:right w:val="nil"/>
            </w:tcBorders>
            <w:shd w:val="clear" w:color="auto" w:fill="auto"/>
            <w:vAlign w:val="center"/>
            <w:hideMark/>
          </w:tcPr>
          <w:p w14:paraId="7D287763" w14:textId="65E9F65B" w:rsidR="000B2E6A" w:rsidRPr="00756BE8" w:rsidRDefault="000B2E6A" w:rsidP="000B2E6A">
            <w:pPr>
              <w:bidi w:val="0"/>
              <w:spacing w:before="80" w:after="80"/>
              <w:rPr>
                <w:rFonts w:ascii="Arial" w:hAnsi="Arial" w:cs="Arial"/>
                <w:color w:val="000000"/>
                <w:szCs w:val="24"/>
                <w:lang w:eastAsia="en-US"/>
              </w:rPr>
            </w:pPr>
            <w:r>
              <w:rPr>
                <w:rFonts w:ascii="Arial" w:hAnsi="Arial" w:cs="Arial"/>
                <w:color w:val="000000"/>
                <w:szCs w:val="24"/>
                <w:lang w:eastAsia="en-US"/>
              </w:rPr>
              <w:t>Total Number of Upper Secondary School Graduates (absolute numbers)</w:t>
            </w:r>
          </w:p>
        </w:tc>
        <w:tc>
          <w:tcPr>
            <w:tcW w:w="1530" w:type="dxa"/>
            <w:tcBorders>
              <w:top w:val="single" w:sz="8" w:space="0" w:color="auto"/>
              <w:left w:val="single" w:sz="8" w:space="0" w:color="auto"/>
              <w:right w:val="nil"/>
            </w:tcBorders>
            <w:shd w:val="clear" w:color="auto" w:fill="auto"/>
            <w:vAlign w:val="center"/>
            <w:hideMark/>
          </w:tcPr>
          <w:p w14:paraId="1479039C" w14:textId="0A1AAE77" w:rsidR="000B2E6A" w:rsidRPr="00756BE8" w:rsidRDefault="000B2E6A" w:rsidP="000B2E6A">
            <w:pPr>
              <w:tabs>
                <w:tab w:val="decimal" w:pos="964"/>
              </w:tabs>
              <w:bidi w:val="0"/>
              <w:spacing w:before="80" w:after="80"/>
              <w:jc w:val="right"/>
              <w:rPr>
                <w:rFonts w:ascii="Arial" w:hAnsi="Arial" w:cs="Arial"/>
                <w:b w:val="0"/>
                <w:bCs w:val="0"/>
                <w:color w:val="000000"/>
                <w:szCs w:val="24"/>
                <w:lang w:eastAsia="en-US"/>
              </w:rPr>
            </w:pPr>
            <w:r w:rsidRPr="00756BE8">
              <w:rPr>
                <w:rFonts w:ascii="Arial" w:hAnsi="Arial" w:cs="Arial" w:hint="cs"/>
                <w:color w:val="000000"/>
                <w:szCs w:val="24"/>
                <w:rtl/>
                <w:lang w:eastAsia="en-US"/>
              </w:rPr>
              <w:t>76,</w:t>
            </w:r>
            <w:r>
              <w:rPr>
                <w:rFonts w:ascii="Arial" w:hAnsi="Arial" w:cs="Arial" w:hint="cs"/>
                <w:color w:val="000000"/>
                <w:szCs w:val="24"/>
                <w:rtl/>
                <w:lang w:eastAsia="en-US"/>
              </w:rPr>
              <w:t>756</w:t>
            </w:r>
          </w:p>
        </w:tc>
        <w:tc>
          <w:tcPr>
            <w:tcW w:w="1530" w:type="dxa"/>
            <w:tcBorders>
              <w:top w:val="single" w:sz="8" w:space="0" w:color="auto"/>
              <w:left w:val="single" w:sz="8" w:space="0" w:color="auto"/>
              <w:right w:val="nil"/>
            </w:tcBorders>
            <w:shd w:val="clear" w:color="auto" w:fill="auto"/>
            <w:vAlign w:val="center"/>
            <w:hideMark/>
          </w:tcPr>
          <w:p w14:paraId="018C27DB" w14:textId="5964DCB8" w:rsidR="000B2E6A" w:rsidRPr="00756BE8" w:rsidRDefault="000B2E6A" w:rsidP="000B2E6A">
            <w:pPr>
              <w:tabs>
                <w:tab w:val="decimal" w:pos="961"/>
              </w:tabs>
              <w:bidi w:val="0"/>
              <w:spacing w:before="80" w:after="80"/>
              <w:jc w:val="right"/>
              <w:rPr>
                <w:rFonts w:ascii="Arial" w:hAnsi="Arial" w:cs="Arial"/>
                <w:b w:val="0"/>
                <w:bCs w:val="0"/>
                <w:color w:val="000000"/>
                <w:szCs w:val="24"/>
                <w:lang w:eastAsia="en-US"/>
              </w:rPr>
            </w:pPr>
            <w:r w:rsidRPr="00756BE8">
              <w:rPr>
                <w:rFonts w:ascii="Arial" w:hAnsi="Arial" w:cs="Arial"/>
                <w:color w:val="000000"/>
                <w:szCs w:val="24"/>
                <w:lang w:eastAsia="en-US"/>
              </w:rPr>
              <w:t>20,</w:t>
            </w:r>
            <w:r>
              <w:rPr>
                <w:rFonts w:ascii="Arial" w:hAnsi="Arial" w:cs="Arial"/>
                <w:color w:val="000000"/>
                <w:szCs w:val="24"/>
                <w:lang w:eastAsia="en-US"/>
              </w:rPr>
              <w:t>733</w:t>
            </w:r>
          </w:p>
        </w:tc>
        <w:tc>
          <w:tcPr>
            <w:tcW w:w="1390" w:type="dxa"/>
            <w:tcBorders>
              <w:top w:val="single" w:sz="8" w:space="0" w:color="auto"/>
              <w:left w:val="single" w:sz="8" w:space="0" w:color="auto"/>
              <w:right w:val="nil"/>
            </w:tcBorders>
            <w:shd w:val="clear" w:color="auto" w:fill="auto"/>
            <w:vAlign w:val="center"/>
            <w:hideMark/>
          </w:tcPr>
          <w:p w14:paraId="78E1A82A" w14:textId="72794535" w:rsidR="000B2E6A" w:rsidRPr="00F073EC" w:rsidRDefault="000B2E6A" w:rsidP="000B2E6A">
            <w:pPr>
              <w:tabs>
                <w:tab w:val="decimal" w:pos="868"/>
              </w:tabs>
              <w:bidi w:val="0"/>
              <w:spacing w:before="80" w:after="80"/>
              <w:jc w:val="right"/>
              <w:rPr>
                <w:rFonts w:ascii="Arial" w:hAnsi="Arial" w:cs="Arial"/>
                <w:b w:val="0"/>
                <w:bCs w:val="0"/>
                <w:color w:val="000000"/>
                <w:szCs w:val="24"/>
                <w:lang w:eastAsia="en-US"/>
              </w:rPr>
            </w:pPr>
            <w:r w:rsidRPr="00F073EC">
              <w:rPr>
                <w:rFonts w:ascii="Arial" w:hAnsi="Arial" w:cs="Arial" w:hint="cs"/>
                <w:b w:val="0"/>
                <w:bCs w:val="0"/>
                <w:color w:val="000000"/>
                <w:szCs w:val="24"/>
                <w:rtl/>
                <w:lang w:eastAsia="en-US"/>
              </w:rPr>
              <w:t>1,800</w:t>
            </w:r>
          </w:p>
        </w:tc>
        <w:tc>
          <w:tcPr>
            <w:tcW w:w="1494" w:type="dxa"/>
            <w:tcBorders>
              <w:top w:val="single" w:sz="8" w:space="0" w:color="auto"/>
              <w:left w:val="single" w:sz="8" w:space="0" w:color="auto"/>
            </w:tcBorders>
            <w:shd w:val="clear" w:color="auto" w:fill="auto"/>
            <w:vAlign w:val="center"/>
            <w:hideMark/>
          </w:tcPr>
          <w:p w14:paraId="03FD4887" w14:textId="5A40279C" w:rsidR="000B2E6A" w:rsidRPr="00F073EC" w:rsidRDefault="000B2E6A" w:rsidP="000B2E6A">
            <w:pPr>
              <w:tabs>
                <w:tab w:val="decimal" w:pos="932"/>
              </w:tabs>
              <w:bidi w:val="0"/>
              <w:spacing w:before="80" w:after="80"/>
              <w:jc w:val="right"/>
              <w:rPr>
                <w:rFonts w:ascii="Arial" w:hAnsi="Arial" w:cs="Arial"/>
                <w:b w:val="0"/>
                <w:bCs w:val="0"/>
                <w:color w:val="000000"/>
                <w:szCs w:val="24"/>
                <w:lang w:eastAsia="en-US"/>
              </w:rPr>
            </w:pPr>
            <w:r w:rsidRPr="00F073EC">
              <w:rPr>
                <w:rFonts w:ascii="Arial" w:hAnsi="Arial" w:cs="Arial" w:hint="cs"/>
                <w:b w:val="0"/>
                <w:bCs w:val="0"/>
                <w:color w:val="000000"/>
                <w:szCs w:val="24"/>
                <w:rtl/>
                <w:lang w:eastAsia="en-US"/>
              </w:rPr>
              <w:t>178</w:t>
            </w:r>
          </w:p>
        </w:tc>
      </w:tr>
      <w:tr w:rsidR="000B2E6A" w:rsidRPr="00756BE8" w14:paraId="48E77AD8" w14:textId="77777777" w:rsidTr="001876B3">
        <w:trPr>
          <w:trHeight w:val="300"/>
          <w:jc w:val="center"/>
        </w:trPr>
        <w:tc>
          <w:tcPr>
            <w:tcW w:w="3870" w:type="dxa"/>
            <w:tcBorders>
              <w:top w:val="single" w:sz="8" w:space="0" w:color="auto"/>
              <w:bottom w:val="single" w:sz="8" w:space="0" w:color="000000"/>
              <w:right w:val="single" w:sz="8" w:space="0" w:color="000000"/>
            </w:tcBorders>
            <w:shd w:val="clear" w:color="auto" w:fill="auto"/>
            <w:vAlign w:val="center"/>
            <w:hideMark/>
          </w:tcPr>
          <w:p w14:paraId="0A5081DA" w14:textId="77777777" w:rsidR="000B2E6A" w:rsidRDefault="000B2E6A" w:rsidP="000B2E6A">
            <w:pPr>
              <w:bidi w:val="0"/>
              <w:spacing w:before="80" w:after="80"/>
              <w:rPr>
                <w:rFonts w:ascii="Arial" w:hAnsi="Arial" w:cs="Arial"/>
                <w:b w:val="0"/>
                <w:bCs w:val="0"/>
                <w:szCs w:val="24"/>
              </w:rPr>
            </w:pPr>
            <w:r>
              <w:rPr>
                <w:rFonts w:ascii="Arial" w:hAnsi="Arial" w:cs="Arial"/>
                <w:b w:val="0"/>
                <w:bCs w:val="0"/>
                <w:szCs w:val="24"/>
              </w:rPr>
              <w:t>Of them:</w:t>
            </w:r>
          </w:p>
          <w:p w14:paraId="4D923680" w14:textId="10EAE159" w:rsidR="000B2E6A" w:rsidRPr="00C80609" w:rsidRDefault="000B2E6A" w:rsidP="00011488">
            <w:pPr>
              <w:bidi w:val="0"/>
              <w:spacing w:before="80" w:after="80"/>
              <w:rPr>
                <w:rFonts w:ascii="Arial" w:hAnsi="Arial" w:cs="Arial"/>
                <w:b w:val="0"/>
                <w:bCs w:val="0"/>
                <w:color w:val="000000"/>
                <w:szCs w:val="24"/>
                <w:lang w:eastAsia="en-US"/>
              </w:rPr>
            </w:pPr>
            <w:r>
              <w:rPr>
                <w:rFonts w:ascii="Arial" w:hAnsi="Arial" w:cs="Arial"/>
                <w:b w:val="0"/>
                <w:bCs w:val="0"/>
                <w:szCs w:val="24"/>
              </w:rPr>
              <w:t>Continued to academic studies (</w:t>
            </w:r>
            <w:r w:rsidR="00011488" w:rsidRPr="00011488">
              <w:rPr>
                <w:rFonts w:ascii="Arial" w:hAnsi="Arial" w:cs="Arial"/>
                <w:b w:val="0"/>
                <w:bCs w:val="0"/>
                <w:color w:val="000000"/>
                <w:szCs w:val="24"/>
                <w:lang w:eastAsia="en-US"/>
              </w:rPr>
              <w:t>percentages</w:t>
            </w:r>
            <w:r>
              <w:rPr>
                <w:rFonts w:ascii="Arial" w:hAnsi="Arial" w:cs="Arial"/>
                <w:b w:val="0"/>
                <w:bCs w:val="0"/>
                <w:szCs w:val="24"/>
              </w:rPr>
              <w:t>)</w:t>
            </w:r>
          </w:p>
        </w:tc>
        <w:tc>
          <w:tcPr>
            <w:tcW w:w="153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D41B014" w14:textId="46C46494" w:rsidR="000B2E6A" w:rsidRPr="00C80609" w:rsidRDefault="000B2E6A" w:rsidP="004626AF">
            <w:pPr>
              <w:bidi w:val="0"/>
              <w:jc w:val="right"/>
              <w:rPr>
                <w:rFonts w:ascii="Arial" w:hAnsi="Arial" w:cs="Arial"/>
                <w:b w:val="0"/>
                <w:bCs w:val="0"/>
                <w:color w:val="000000"/>
                <w:szCs w:val="24"/>
                <w:lang w:eastAsia="en-US"/>
              </w:rPr>
            </w:pPr>
            <w:r w:rsidRPr="009626F2">
              <w:rPr>
                <w:rFonts w:ascii="Arial" w:hAnsi="Arial" w:cs="Arial" w:hint="cs"/>
                <w:color w:val="000000"/>
                <w:szCs w:val="24"/>
                <w:rtl/>
                <w:lang w:eastAsia="en-US"/>
              </w:rPr>
              <w:t>47.2</w:t>
            </w:r>
          </w:p>
        </w:tc>
        <w:tc>
          <w:tcPr>
            <w:tcW w:w="153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C0CD877" w14:textId="77535515" w:rsidR="000B2E6A" w:rsidRPr="00C80609" w:rsidRDefault="000B2E6A" w:rsidP="004626AF">
            <w:pPr>
              <w:bidi w:val="0"/>
              <w:jc w:val="right"/>
              <w:rPr>
                <w:rFonts w:ascii="Arial" w:hAnsi="Arial" w:cs="Arial"/>
                <w:b w:val="0"/>
                <w:bCs w:val="0"/>
                <w:color w:val="000000"/>
                <w:szCs w:val="24"/>
                <w:lang w:eastAsia="en-US"/>
              </w:rPr>
            </w:pPr>
            <w:r w:rsidRPr="009626F2">
              <w:rPr>
                <w:rFonts w:ascii="Arial" w:hAnsi="Arial" w:cs="Arial" w:hint="cs"/>
                <w:color w:val="000000"/>
                <w:szCs w:val="24"/>
                <w:rtl/>
                <w:lang w:eastAsia="en-US"/>
              </w:rPr>
              <w:t>34.0</w:t>
            </w:r>
          </w:p>
        </w:tc>
        <w:tc>
          <w:tcPr>
            <w:tcW w:w="139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73D927F7" w14:textId="52F4063B" w:rsidR="000B2E6A" w:rsidRPr="00F073EC" w:rsidRDefault="000B2E6A" w:rsidP="004626AF">
            <w:pPr>
              <w:bidi w:val="0"/>
              <w:jc w:val="right"/>
              <w:rPr>
                <w:rFonts w:ascii="Arial" w:hAnsi="Arial" w:cs="Arial"/>
                <w:b w:val="0"/>
                <w:bCs w:val="0"/>
                <w:color w:val="000000"/>
                <w:szCs w:val="24"/>
                <w:lang w:eastAsia="en-US"/>
              </w:rPr>
            </w:pPr>
            <w:r w:rsidRPr="00F073EC">
              <w:rPr>
                <w:rFonts w:ascii="Arial" w:hAnsi="Arial" w:cs="Arial" w:hint="cs"/>
                <w:b w:val="0"/>
                <w:bCs w:val="0"/>
                <w:color w:val="000000"/>
                <w:szCs w:val="24"/>
                <w:rtl/>
                <w:lang w:eastAsia="en-US"/>
              </w:rPr>
              <w:t>53.1</w:t>
            </w:r>
          </w:p>
        </w:tc>
        <w:tc>
          <w:tcPr>
            <w:tcW w:w="1494" w:type="dxa"/>
            <w:tcBorders>
              <w:top w:val="single" w:sz="8" w:space="0" w:color="auto"/>
              <w:left w:val="single" w:sz="8" w:space="0" w:color="auto"/>
              <w:bottom w:val="single" w:sz="8" w:space="0" w:color="000000"/>
            </w:tcBorders>
            <w:shd w:val="clear" w:color="auto" w:fill="auto"/>
            <w:vAlign w:val="center"/>
            <w:hideMark/>
          </w:tcPr>
          <w:p w14:paraId="6CDF2DA8" w14:textId="769FEC28" w:rsidR="000B2E6A" w:rsidRPr="00F073EC" w:rsidRDefault="000B2E6A" w:rsidP="004626AF">
            <w:pPr>
              <w:bidi w:val="0"/>
              <w:jc w:val="right"/>
              <w:rPr>
                <w:rFonts w:ascii="Arial" w:hAnsi="Arial" w:cs="Arial"/>
                <w:b w:val="0"/>
                <w:bCs w:val="0"/>
                <w:color w:val="000000"/>
                <w:szCs w:val="24"/>
                <w:lang w:eastAsia="en-US"/>
              </w:rPr>
            </w:pPr>
            <w:r w:rsidRPr="00F073EC">
              <w:rPr>
                <w:rFonts w:ascii="Arial" w:hAnsi="Arial" w:cs="Arial" w:hint="cs"/>
                <w:b w:val="0"/>
                <w:bCs w:val="0"/>
                <w:color w:val="000000"/>
                <w:szCs w:val="24"/>
                <w:rtl/>
                <w:lang w:eastAsia="en-US"/>
              </w:rPr>
              <w:t>35.4</w:t>
            </w:r>
          </w:p>
        </w:tc>
      </w:tr>
      <w:tr w:rsidR="000B2E6A" w:rsidRPr="00756BE8" w14:paraId="2F58AFF1" w14:textId="77777777" w:rsidTr="001876B3">
        <w:trPr>
          <w:trHeight w:val="560"/>
          <w:jc w:val="center"/>
        </w:trPr>
        <w:tc>
          <w:tcPr>
            <w:tcW w:w="3870" w:type="dxa"/>
            <w:tcBorders>
              <w:right w:val="single" w:sz="8" w:space="0" w:color="000000"/>
            </w:tcBorders>
            <w:shd w:val="clear" w:color="auto" w:fill="auto"/>
            <w:vAlign w:val="center"/>
          </w:tcPr>
          <w:p w14:paraId="73609133" w14:textId="59AD1F75" w:rsidR="000B2E6A" w:rsidRPr="00C80609" w:rsidRDefault="000B2E6A" w:rsidP="000B2E6A">
            <w:pPr>
              <w:bidi w:val="0"/>
              <w:spacing w:before="80" w:after="80"/>
              <w:rPr>
                <w:rFonts w:ascii="Arial" w:hAnsi="Arial" w:cs="Arial"/>
                <w:b w:val="0"/>
                <w:bCs w:val="0"/>
                <w:color w:val="000000"/>
                <w:szCs w:val="24"/>
                <w:rtl/>
                <w:lang w:eastAsia="en-US"/>
              </w:rPr>
            </w:pPr>
            <w:r>
              <w:rPr>
                <w:rFonts w:ascii="Arial" w:hAnsi="Arial" w:cs="Arial"/>
                <w:b w:val="0"/>
                <w:bCs w:val="0"/>
                <w:color w:val="000000"/>
                <w:szCs w:val="24"/>
                <w:lang w:eastAsia="en-US"/>
              </w:rPr>
              <w:t>Continued to academic studies, by type of institution (percentages)</w:t>
            </w:r>
          </w:p>
        </w:tc>
        <w:tc>
          <w:tcPr>
            <w:tcW w:w="1530" w:type="dxa"/>
            <w:tcBorders>
              <w:left w:val="single" w:sz="8" w:space="0" w:color="auto"/>
              <w:right w:val="single" w:sz="8" w:space="0" w:color="000000"/>
            </w:tcBorders>
            <w:shd w:val="clear" w:color="auto" w:fill="auto"/>
            <w:vAlign w:val="center"/>
          </w:tcPr>
          <w:p w14:paraId="5AAF3E79" w14:textId="6F99E881" w:rsidR="000B2E6A" w:rsidRPr="00C80609" w:rsidRDefault="000B2E6A" w:rsidP="000B2E6A">
            <w:pPr>
              <w:tabs>
                <w:tab w:val="decimal" w:pos="784"/>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100.0</w:t>
            </w:r>
          </w:p>
        </w:tc>
        <w:tc>
          <w:tcPr>
            <w:tcW w:w="1530" w:type="dxa"/>
            <w:tcBorders>
              <w:left w:val="single" w:sz="8" w:space="0" w:color="auto"/>
              <w:right w:val="single" w:sz="8" w:space="0" w:color="000000"/>
            </w:tcBorders>
            <w:shd w:val="clear" w:color="auto" w:fill="auto"/>
            <w:vAlign w:val="center"/>
          </w:tcPr>
          <w:p w14:paraId="0FFC85FF" w14:textId="014AADE4" w:rsidR="000B2E6A" w:rsidRPr="00C80609" w:rsidRDefault="000B2E6A" w:rsidP="000B2E6A">
            <w:pPr>
              <w:tabs>
                <w:tab w:val="decimal" w:pos="691"/>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100.0</w:t>
            </w:r>
          </w:p>
        </w:tc>
        <w:tc>
          <w:tcPr>
            <w:tcW w:w="1390" w:type="dxa"/>
            <w:tcBorders>
              <w:left w:val="single" w:sz="8" w:space="0" w:color="auto"/>
              <w:right w:val="single" w:sz="8" w:space="0" w:color="000000"/>
            </w:tcBorders>
            <w:shd w:val="clear" w:color="auto" w:fill="auto"/>
            <w:vAlign w:val="center"/>
          </w:tcPr>
          <w:p w14:paraId="65AD3989" w14:textId="78659FC7" w:rsidR="000B2E6A" w:rsidRPr="00F073EC" w:rsidRDefault="000B2E6A" w:rsidP="000B2E6A">
            <w:pPr>
              <w:tabs>
                <w:tab w:val="decimal" w:pos="688"/>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100.0</w:t>
            </w:r>
          </w:p>
        </w:tc>
        <w:tc>
          <w:tcPr>
            <w:tcW w:w="1494" w:type="dxa"/>
            <w:tcBorders>
              <w:left w:val="single" w:sz="8" w:space="0" w:color="auto"/>
            </w:tcBorders>
            <w:shd w:val="clear" w:color="auto" w:fill="auto"/>
            <w:vAlign w:val="center"/>
          </w:tcPr>
          <w:p w14:paraId="41853BEC" w14:textId="4A585590" w:rsidR="000B2E6A" w:rsidRPr="00F073EC" w:rsidRDefault="000B2E6A" w:rsidP="000B2E6A">
            <w:pPr>
              <w:tabs>
                <w:tab w:val="decimal" w:pos="752"/>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100.0</w:t>
            </w:r>
          </w:p>
        </w:tc>
      </w:tr>
      <w:tr w:rsidR="000B2E6A" w:rsidRPr="00756BE8" w14:paraId="0F329A35" w14:textId="77777777" w:rsidTr="001876B3">
        <w:trPr>
          <w:trHeight w:val="425"/>
          <w:jc w:val="center"/>
        </w:trPr>
        <w:tc>
          <w:tcPr>
            <w:tcW w:w="3870" w:type="dxa"/>
            <w:tcBorders>
              <w:right w:val="single" w:sz="8" w:space="0" w:color="000000"/>
            </w:tcBorders>
            <w:shd w:val="clear" w:color="auto" w:fill="auto"/>
            <w:vAlign w:val="center"/>
          </w:tcPr>
          <w:p w14:paraId="786276E8" w14:textId="77777777" w:rsidR="000B2E6A" w:rsidRPr="00C80609" w:rsidRDefault="000B2E6A" w:rsidP="000B2E6A">
            <w:pPr>
              <w:bidi w:val="0"/>
              <w:spacing w:before="80" w:after="80"/>
              <w:rPr>
                <w:rFonts w:ascii="Arial" w:hAnsi="Arial" w:cs="Arial"/>
                <w:b w:val="0"/>
                <w:bCs w:val="0"/>
                <w:color w:val="000000"/>
                <w:szCs w:val="24"/>
                <w:rtl/>
                <w:lang w:eastAsia="en-US"/>
              </w:rPr>
            </w:pPr>
            <w:r>
              <w:rPr>
                <w:rFonts w:ascii="Arial" w:hAnsi="Arial" w:cs="Arial"/>
                <w:b w:val="0"/>
                <w:bCs w:val="0"/>
                <w:color w:val="000000"/>
                <w:szCs w:val="24"/>
                <w:lang w:eastAsia="en-US"/>
              </w:rPr>
              <w:t>Universities</w:t>
            </w:r>
          </w:p>
        </w:tc>
        <w:tc>
          <w:tcPr>
            <w:tcW w:w="1530" w:type="dxa"/>
            <w:tcBorders>
              <w:left w:val="single" w:sz="8" w:space="0" w:color="auto"/>
              <w:right w:val="single" w:sz="8" w:space="0" w:color="000000"/>
            </w:tcBorders>
            <w:shd w:val="clear" w:color="auto" w:fill="auto"/>
            <w:vAlign w:val="center"/>
          </w:tcPr>
          <w:p w14:paraId="7478919F" w14:textId="15E55C77" w:rsidR="000B2E6A" w:rsidRPr="00C80609" w:rsidRDefault="000B2E6A" w:rsidP="000B2E6A">
            <w:pPr>
              <w:tabs>
                <w:tab w:val="decimal" w:pos="784"/>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3</w:t>
            </w:r>
            <w:r>
              <w:rPr>
                <w:rFonts w:ascii="Arial" w:hAnsi="Arial" w:cs="Arial" w:hint="cs"/>
                <w:color w:val="000000"/>
                <w:szCs w:val="24"/>
                <w:rtl/>
                <w:lang w:eastAsia="en-US"/>
              </w:rPr>
              <w:t>4</w:t>
            </w:r>
            <w:r w:rsidRPr="00756BE8">
              <w:rPr>
                <w:rFonts w:ascii="Arial" w:hAnsi="Arial" w:cs="Arial" w:hint="cs"/>
                <w:color w:val="000000"/>
                <w:szCs w:val="24"/>
                <w:rtl/>
                <w:lang w:eastAsia="en-US"/>
              </w:rPr>
              <w:t>.</w:t>
            </w:r>
            <w:r>
              <w:rPr>
                <w:rFonts w:ascii="Arial" w:hAnsi="Arial" w:cs="Arial" w:hint="cs"/>
                <w:color w:val="000000"/>
                <w:szCs w:val="24"/>
                <w:rtl/>
                <w:lang w:eastAsia="en-US"/>
              </w:rPr>
              <w:t>6</w:t>
            </w:r>
          </w:p>
        </w:tc>
        <w:tc>
          <w:tcPr>
            <w:tcW w:w="1530" w:type="dxa"/>
            <w:tcBorders>
              <w:left w:val="single" w:sz="8" w:space="0" w:color="auto"/>
              <w:right w:val="single" w:sz="8" w:space="0" w:color="000000"/>
            </w:tcBorders>
            <w:shd w:val="clear" w:color="auto" w:fill="auto"/>
            <w:vAlign w:val="center"/>
          </w:tcPr>
          <w:p w14:paraId="50777DF7" w14:textId="29DB0C96" w:rsidR="000B2E6A" w:rsidRPr="00C80609" w:rsidRDefault="000B2E6A" w:rsidP="000B2E6A">
            <w:pPr>
              <w:tabs>
                <w:tab w:val="decimal" w:pos="691"/>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3</w:t>
            </w:r>
            <w:r>
              <w:rPr>
                <w:rFonts w:ascii="Arial" w:hAnsi="Arial" w:cs="Arial" w:hint="cs"/>
                <w:color w:val="000000"/>
                <w:szCs w:val="24"/>
                <w:rtl/>
                <w:lang w:eastAsia="en-US"/>
              </w:rPr>
              <w:t>2</w:t>
            </w:r>
            <w:r w:rsidRPr="00756BE8">
              <w:rPr>
                <w:rFonts w:ascii="Arial" w:hAnsi="Arial" w:cs="Arial" w:hint="cs"/>
                <w:color w:val="000000"/>
                <w:szCs w:val="24"/>
                <w:rtl/>
                <w:lang w:eastAsia="en-US"/>
              </w:rPr>
              <w:t>.</w:t>
            </w:r>
            <w:r>
              <w:rPr>
                <w:rFonts w:ascii="Arial" w:hAnsi="Arial" w:cs="Arial" w:hint="cs"/>
                <w:color w:val="000000"/>
                <w:szCs w:val="24"/>
                <w:rtl/>
                <w:lang w:eastAsia="en-US"/>
              </w:rPr>
              <w:t>3</w:t>
            </w:r>
          </w:p>
        </w:tc>
        <w:tc>
          <w:tcPr>
            <w:tcW w:w="1390" w:type="dxa"/>
            <w:tcBorders>
              <w:left w:val="single" w:sz="8" w:space="0" w:color="auto"/>
              <w:right w:val="single" w:sz="8" w:space="0" w:color="000000"/>
            </w:tcBorders>
            <w:shd w:val="clear" w:color="auto" w:fill="auto"/>
            <w:vAlign w:val="center"/>
          </w:tcPr>
          <w:p w14:paraId="13285AA7" w14:textId="047435F9" w:rsidR="000B2E6A" w:rsidRPr="00F073EC" w:rsidRDefault="000B2E6A" w:rsidP="000B2E6A">
            <w:pPr>
              <w:tabs>
                <w:tab w:val="decimal" w:pos="688"/>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44.8</w:t>
            </w:r>
          </w:p>
        </w:tc>
        <w:tc>
          <w:tcPr>
            <w:tcW w:w="1494" w:type="dxa"/>
            <w:tcBorders>
              <w:left w:val="single" w:sz="8" w:space="0" w:color="auto"/>
            </w:tcBorders>
            <w:shd w:val="clear" w:color="auto" w:fill="auto"/>
            <w:vAlign w:val="center"/>
          </w:tcPr>
          <w:p w14:paraId="0E2A7E0E" w14:textId="1318A773" w:rsidR="000B2E6A" w:rsidRPr="00F073EC" w:rsidRDefault="000B2E6A" w:rsidP="000B2E6A">
            <w:pPr>
              <w:tabs>
                <w:tab w:val="decimal" w:pos="752"/>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33.3</w:t>
            </w:r>
          </w:p>
        </w:tc>
      </w:tr>
      <w:tr w:rsidR="000B2E6A" w:rsidRPr="00756BE8" w14:paraId="2DECFF11" w14:textId="77777777" w:rsidTr="001876B3">
        <w:trPr>
          <w:trHeight w:val="431"/>
          <w:jc w:val="center"/>
        </w:trPr>
        <w:tc>
          <w:tcPr>
            <w:tcW w:w="3870" w:type="dxa"/>
            <w:tcBorders>
              <w:right w:val="single" w:sz="8" w:space="0" w:color="000000"/>
            </w:tcBorders>
            <w:shd w:val="clear" w:color="auto" w:fill="auto"/>
            <w:vAlign w:val="center"/>
          </w:tcPr>
          <w:p w14:paraId="2352A2CC" w14:textId="77777777" w:rsidR="000B2E6A" w:rsidRPr="00C80609" w:rsidRDefault="000B2E6A" w:rsidP="000B2E6A">
            <w:pPr>
              <w:bidi w:val="0"/>
              <w:spacing w:before="80" w:after="80"/>
              <w:rPr>
                <w:rFonts w:ascii="Arial" w:hAnsi="Arial" w:cs="Arial"/>
                <w:b w:val="0"/>
                <w:bCs w:val="0"/>
                <w:color w:val="000000"/>
                <w:szCs w:val="24"/>
                <w:rtl/>
                <w:lang w:eastAsia="en-US"/>
              </w:rPr>
            </w:pPr>
            <w:r>
              <w:rPr>
                <w:rFonts w:ascii="Arial" w:hAnsi="Arial" w:cs="Arial"/>
                <w:b w:val="0"/>
                <w:bCs w:val="0"/>
                <w:color w:val="000000"/>
                <w:szCs w:val="24"/>
                <w:lang w:eastAsia="en-US"/>
              </w:rPr>
              <w:t>The Open University</w:t>
            </w:r>
          </w:p>
        </w:tc>
        <w:tc>
          <w:tcPr>
            <w:tcW w:w="1530" w:type="dxa"/>
            <w:tcBorders>
              <w:left w:val="single" w:sz="8" w:space="0" w:color="auto"/>
              <w:right w:val="single" w:sz="8" w:space="0" w:color="000000"/>
            </w:tcBorders>
            <w:shd w:val="clear" w:color="auto" w:fill="auto"/>
            <w:vAlign w:val="center"/>
          </w:tcPr>
          <w:p w14:paraId="343C20C9" w14:textId="2B252AC0" w:rsidR="000B2E6A" w:rsidRPr="00C80609" w:rsidRDefault="000B2E6A" w:rsidP="000B2E6A">
            <w:pPr>
              <w:tabs>
                <w:tab w:val="decimal" w:pos="784"/>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11.</w:t>
            </w:r>
            <w:r>
              <w:rPr>
                <w:rFonts w:ascii="Arial" w:hAnsi="Arial" w:cs="Arial" w:hint="cs"/>
                <w:color w:val="000000"/>
                <w:szCs w:val="24"/>
                <w:rtl/>
                <w:lang w:eastAsia="en-US"/>
              </w:rPr>
              <w:t>9</w:t>
            </w:r>
          </w:p>
        </w:tc>
        <w:tc>
          <w:tcPr>
            <w:tcW w:w="1530" w:type="dxa"/>
            <w:tcBorders>
              <w:left w:val="single" w:sz="8" w:space="0" w:color="auto"/>
              <w:right w:val="single" w:sz="8" w:space="0" w:color="000000"/>
            </w:tcBorders>
            <w:shd w:val="clear" w:color="auto" w:fill="auto"/>
            <w:vAlign w:val="center"/>
          </w:tcPr>
          <w:p w14:paraId="01C28D19" w14:textId="3C35C606" w:rsidR="000B2E6A" w:rsidRPr="00C80609" w:rsidRDefault="000B2E6A" w:rsidP="000B2E6A">
            <w:pPr>
              <w:tabs>
                <w:tab w:val="decimal" w:pos="691"/>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1</w:t>
            </w:r>
            <w:r>
              <w:rPr>
                <w:rFonts w:ascii="Arial" w:hAnsi="Arial" w:cs="Arial" w:hint="cs"/>
                <w:color w:val="000000"/>
                <w:szCs w:val="24"/>
                <w:rtl/>
                <w:lang w:eastAsia="en-US"/>
              </w:rPr>
              <w:t>9</w:t>
            </w:r>
            <w:r w:rsidRPr="00756BE8">
              <w:rPr>
                <w:rFonts w:ascii="Arial" w:hAnsi="Arial" w:cs="Arial" w:hint="cs"/>
                <w:color w:val="000000"/>
                <w:szCs w:val="24"/>
                <w:rtl/>
                <w:lang w:eastAsia="en-US"/>
              </w:rPr>
              <w:t>.3</w:t>
            </w:r>
          </w:p>
        </w:tc>
        <w:tc>
          <w:tcPr>
            <w:tcW w:w="1390" w:type="dxa"/>
            <w:tcBorders>
              <w:left w:val="single" w:sz="8" w:space="0" w:color="auto"/>
              <w:right w:val="single" w:sz="8" w:space="0" w:color="000000"/>
            </w:tcBorders>
            <w:shd w:val="clear" w:color="auto" w:fill="auto"/>
            <w:vAlign w:val="center"/>
          </w:tcPr>
          <w:p w14:paraId="1FABB5E6" w14:textId="3EB0908C" w:rsidR="000B2E6A" w:rsidRPr="00F073EC" w:rsidRDefault="000B2E6A" w:rsidP="000B2E6A">
            <w:pPr>
              <w:tabs>
                <w:tab w:val="decimal" w:pos="688"/>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10.9</w:t>
            </w:r>
          </w:p>
        </w:tc>
        <w:tc>
          <w:tcPr>
            <w:tcW w:w="1494" w:type="dxa"/>
            <w:tcBorders>
              <w:left w:val="single" w:sz="8" w:space="0" w:color="auto"/>
            </w:tcBorders>
            <w:shd w:val="clear" w:color="auto" w:fill="auto"/>
            <w:vAlign w:val="center"/>
          </w:tcPr>
          <w:p w14:paraId="196E0CC7" w14:textId="2FEB8EBC" w:rsidR="000B2E6A" w:rsidRPr="00F073EC" w:rsidRDefault="000B2E6A" w:rsidP="000B2E6A">
            <w:pPr>
              <w:tabs>
                <w:tab w:val="decimal" w:pos="752"/>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20.6</w:t>
            </w:r>
          </w:p>
        </w:tc>
      </w:tr>
      <w:tr w:rsidR="000B2E6A" w:rsidRPr="00756BE8" w14:paraId="657AC956" w14:textId="77777777" w:rsidTr="001876B3">
        <w:trPr>
          <w:trHeight w:val="422"/>
          <w:jc w:val="center"/>
        </w:trPr>
        <w:tc>
          <w:tcPr>
            <w:tcW w:w="3870" w:type="dxa"/>
            <w:tcBorders>
              <w:right w:val="single" w:sz="8" w:space="0" w:color="000000"/>
            </w:tcBorders>
            <w:shd w:val="clear" w:color="auto" w:fill="auto"/>
            <w:vAlign w:val="center"/>
          </w:tcPr>
          <w:p w14:paraId="780201AB" w14:textId="77777777" w:rsidR="000B2E6A" w:rsidRPr="00C80609" w:rsidRDefault="000B2E6A" w:rsidP="000B2E6A">
            <w:pPr>
              <w:bidi w:val="0"/>
              <w:spacing w:before="80" w:after="80"/>
              <w:rPr>
                <w:rFonts w:ascii="Arial" w:hAnsi="Arial" w:cs="Arial"/>
                <w:b w:val="0"/>
                <w:bCs w:val="0"/>
                <w:color w:val="000000"/>
                <w:szCs w:val="24"/>
                <w:rtl/>
                <w:lang w:eastAsia="en-US"/>
              </w:rPr>
            </w:pPr>
            <w:r>
              <w:rPr>
                <w:rFonts w:ascii="Arial" w:hAnsi="Arial" w:cs="Arial"/>
                <w:b w:val="0"/>
                <w:bCs w:val="0"/>
                <w:color w:val="000000"/>
                <w:szCs w:val="24"/>
                <w:lang w:eastAsia="en-US"/>
              </w:rPr>
              <w:t>Academic colleges</w:t>
            </w:r>
          </w:p>
        </w:tc>
        <w:tc>
          <w:tcPr>
            <w:tcW w:w="1530" w:type="dxa"/>
            <w:tcBorders>
              <w:left w:val="single" w:sz="8" w:space="0" w:color="auto"/>
              <w:right w:val="single" w:sz="8" w:space="0" w:color="000000"/>
            </w:tcBorders>
            <w:shd w:val="clear" w:color="auto" w:fill="auto"/>
            <w:vAlign w:val="center"/>
          </w:tcPr>
          <w:p w14:paraId="0006FCCE" w14:textId="4A65CE0C" w:rsidR="000B2E6A" w:rsidRPr="00C80609" w:rsidRDefault="000B2E6A" w:rsidP="000B2E6A">
            <w:pPr>
              <w:tabs>
                <w:tab w:val="decimal" w:pos="784"/>
              </w:tabs>
              <w:bidi w:val="0"/>
              <w:spacing w:before="80" w:after="80"/>
              <w:jc w:val="right"/>
              <w:rPr>
                <w:rFonts w:ascii="Arial" w:hAnsi="Arial" w:cs="Arial"/>
                <w:b w:val="0"/>
                <w:bCs w:val="0"/>
                <w:color w:val="000000"/>
                <w:szCs w:val="24"/>
                <w:rtl/>
                <w:lang w:eastAsia="en-US"/>
              </w:rPr>
            </w:pPr>
            <w:r w:rsidRPr="00756BE8">
              <w:rPr>
                <w:rFonts w:ascii="Arial" w:hAnsi="Arial" w:cs="Arial" w:hint="cs"/>
                <w:color w:val="000000"/>
                <w:szCs w:val="24"/>
                <w:rtl/>
                <w:lang w:eastAsia="en-US"/>
              </w:rPr>
              <w:t>40.</w:t>
            </w:r>
            <w:r>
              <w:rPr>
                <w:rFonts w:ascii="Arial" w:hAnsi="Arial" w:cs="Arial" w:hint="cs"/>
                <w:color w:val="000000"/>
                <w:szCs w:val="24"/>
                <w:rtl/>
                <w:lang w:eastAsia="en-US"/>
              </w:rPr>
              <w:t>9</w:t>
            </w:r>
          </w:p>
        </w:tc>
        <w:tc>
          <w:tcPr>
            <w:tcW w:w="1530" w:type="dxa"/>
            <w:tcBorders>
              <w:left w:val="single" w:sz="8" w:space="0" w:color="auto"/>
              <w:right w:val="single" w:sz="8" w:space="0" w:color="000000"/>
            </w:tcBorders>
            <w:shd w:val="clear" w:color="auto" w:fill="auto"/>
            <w:vAlign w:val="center"/>
          </w:tcPr>
          <w:p w14:paraId="271D0BBB" w14:textId="2CDEA865" w:rsidR="000B2E6A" w:rsidRPr="00C80609" w:rsidRDefault="000B2E6A" w:rsidP="000B2E6A">
            <w:pPr>
              <w:tabs>
                <w:tab w:val="decimal" w:pos="691"/>
              </w:tabs>
              <w:bidi w:val="0"/>
              <w:spacing w:before="80" w:after="80"/>
              <w:jc w:val="right"/>
              <w:rPr>
                <w:rFonts w:ascii="Arial" w:hAnsi="Arial" w:cs="Arial"/>
                <w:b w:val="0"/>
                <w:bCs w:val="0"/>
                <w:color w:val="000000"/>
                <w:szCs w:val="24"/>
                <w:rtl/>
                <w:lang w:eastAsia="en-US"/>
              </w:rPr>
            </w:pPr>
            <w:r>
              <w:rPr>
                <w:rFonts w:ascii="Arial" w:hAnsi="Arial" w:cs="Arial" w:hint="cs"/>
                <w:color w:val="000000"/>
                <w:szCs w:val="24"/>
                <w:rtl/>
                <w:lang w:eastAsia="en-US"/>
              </w:rPr>
              <w:t>31</w:t>
            </w:r>
            <w:r w:rsidRPr="00756BE8">
              <w:rPr>
                <w:rFonts w:ascii="Arial" w:hAnsi="Arial" w:cs="Arial" w:hint="cs"/>
                <w:color w:val="000000"/>
                <w:szCs w:val="24"/>
                <w:rtl/>
                <w:lang w:eastAsia="en-US"/>
              </w:rPr>
              <w:t>.</w:t>
            </w:r>
            <w:r>
              <w:rPr>
                <w:rFonts w:ascii="Arial" w:hAnsi="Arial" w:cs="Arial" w:hint="cs"/>
                <w:color w:val="000000"/>
                <w:szCs w:val="24"/>
                <w:rtl/>
                <w:lang w:eastAsia="en-US"/>
              </w:rPr>
              <w:t>8</w:t>
            </w:r>
          </w:p>
        </w:tc>
        <w:tc>
          <w:tcPr>
            <w:tcW w:w="1390" w:type="dxa"/>
            <w:tcBorders>
              <w:left w:val="single" w:sz="8" w:space="0" w:color="auto"/>
              <w:right w:val="single" w:sz="8" w:space="0" w:color="000000"/>
            </w:tcBorders>
            <w:shd w:val="clear" w:color="auto" w:fill="auto"/>
            <w:vAlign w:val="center"/>
          </w:tcPr>
          <w:p w14:paraId="2057D4D0" w14:textId="7F1FB598" w:rsidR="000B2E6A" w:rsidRPr="00F073EC" w:rsidRDefault="000B2E6A" w:rsidP="000B2E6A">
            <w:pPr>
              <w:tabs>
                <w:tab w:val="decimal" w:pos="688"/>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35.9</w:t>
            </w:r>
          </w:p>
        </w:tc>
        <w:tc>
          <w:tcPr>
            <w:tcW w:w="1494" w:type="dxa"/>
            <w:tcBorders>
              <w:left w:val="single" w:sz="8" w:space="0" w:color="auto"/>
            </w:tcBorders>
            <w:shd w:val="clear" w:color="auto" w:fill="auto"/>
            <w:vAlign w:val="center"/>
          </w:tcPr>
          <w:p w14:paraId="648BE270" w14:textId="0A9171C9" w:rsidR="000B2E6A" w:rsidRPr="00F073EC" w:rsidRDefault="000B2E6A" w:rsidP="000B2E6A">
            <w:pPr>
              <w:tabs>
                <w:tab w:val="decimal" w:pos="752"/>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lang w:eastAsia="en-US"/>
              </w:rPr>
              <w:t>38.1</w:t>
            </w:r>
          </w:p>
        </w:tc>
      </w:tr>
      <w:tr w:rsidR="000B2E6A" w:rsidRPr="00756BE8" w14:paraId="0AFC7BD8" w14:textId="77777777" w:rsidTr="001876B3">
        <w:trPr>
          <w:trHeight w:val="428"/>
          <w:jc w:val="center"/>
        </w:trPr>
        <w:tc>
          <w:tcPr>
            <w:tcW w:w="3870" w:type="dxa"/>
            <w:tcBorders>
              <w:bottom w:val="single" w:sz="4" w:space="0" w:color="auto"/>
              <w:right w:val="single" w:sz="8" w:space="0" w:color="000000"/>
            </w:tcBorders>
            <w:shd w:val="clear" w:color="auto" w:fill="auto"/>
            <w:vAlign w:val="center"/>
          </w:tcPr>
          <w:p w14:paraId="328AE29A" w14:textId="77777777" w:rsidR="000B2E6A" w:rsidRPr="00C80609" w:rsidRDefault="000B2E6A" w:rsidP="000B2E6A">
            <w:pPr>
              <w:bidi w:val="0"/>
              <w:spacing w:before="80" w:after="80"/>
              <w:rPr>
                <w:rFonts w:ascii="Arial" w:hAnsi="Arial" w:cs="Arial"/>
                <w:b w:val="0"/>
                <w:bCs w:val="0"/>
                <w:color w:val="000000"/>
                <w:szCs w:val="24"/>
                <w:rtl/>
                <w:lang w:eastAsia="en-US"/>
              </w:rPr>
            </w:pPr>
            <w:r>
              <w:rPr>
                <w:rFonts w:ascii="Arial" w:hAnsi="Arial" w:cs="Arial"/>
                <w:b w:val="0"/>
                <w:bCs w:val="0"/>
                <w:color w:val="000000"/>
                <w:szCs w:val="24"/>
              </w:rPr>
              <w:t>Academic colleges of education</w:t>
            </w:r>
          </w:p>
        </w:tc>
        <w:tc>
          <w:tcPr>
            <w:tcW w:w="1530" w:type="dxa"/>
            <w:tcBorders>
              <w:left w:val="single" w:sz="8" w:space="0" w:color="auto"/>
              <w:bottom w:val="single" w:sz="4" w:space="0" w:color="auto"/>
              <w:right w:val="single" w:sz="8" w:space="0" w:color="000000"/>
            </w:tcBorders>
            <w:shd w:val="clear" w:color="auto" w:fill="auto"/>
            <w:vAlign w:val="center"/>
          </w:tcPr>
          <w:p w14:paraId="1523F92D" w14:textId="6303ABB2" w:rsidR="000B2E6A" w:rsidRPr="00C80609" w:rsidRDefault="000B2E6A" w:rsidP="000B2E6A">
            <w:pPr>
              <w:tabs>
                <w:tab w:val="decimal" w:pos="784"/>
              </w:tabs>
              <w:bidi w:val="0"/>
              <w:spacing w:before="80" w:after="80"/>
              <w:jc w:val="right"/>
              <w:rPr>
                <w:rFonts w:ascii="Arial" w:hAnsi="Arial" w:cs="Arial"/>
                <w:b w:val="0"/>
                <w:bCs w:val="0"/>
                <w:color w:val="000000"/>
                <w:szCs w:val="24"/>
                <w:rtl/>
                <w:lang w:eastAsia="en-US"/>
              </w:rPr>
            </w:pPr>
            <w:r w:rsidRPr="00756BE8">
              <w:rPr>
                <w:rFonts w:ascii="Arial" w:hAnsi="Arial" w:cs="Arial"/>
                <w:color w:val="000000"/>
                <w:szCs w:val="24"/>
                <w:rtl/>
              </w:rPr>
              <w:t>12.</w:t>
            </w:r>
            <w:r>
              <w:rPr>
                <w:rFonts w:ascii="Arial" w:hAnsi="Arial" w:cs="Arial" w:hint="cs"/>
                <w:color w:val="000000"/>
                <w:szCs w:val="24"/>
                <w:rtl/>
              </w:rPr>
              <w:t>5</w:t>
            </w:r>
          </w:p>
        </w:tc>
        <w:tc>
          <w:tcPr>
            <w:tcW w:w="1530" w:type="dxa"/>
            <w:tcBorders>
              <w:left w:val="single" w:sz="8" w:space="0" w:color="auto"/>
              <w:bottom w:val="single" w:sz="4" w:space="0" w:color="auto"/>
              <w:right w:val="single" w:sz="8" w:space="0" w:color="000000"/>
            </w:tcBorders>
            <w:shd w:val="clear" w:color="auto" w:fill="auto"/>
            <w:vAlign w:val="center"/>
          </w:tcPr>
          <w:p w14:paraId="201AF4EA" w14:textId="0F123827" w:rsidR="000B2E6A" w:rsidRPr="00C80609" w:rsidRDefault="000B2E6A" w:rsidP="000B2E6A">
            <w:pPr>
              <w:tabs>
                <w:tab w:val="decimal" w:pos="691"/>
              </w:tabs>
              <w:bidi w:val="0"/>
              <w:spacing w:before="80" w:after="80"/>
              <w:jc w:val="right"/>
              <w:rPr>
                <w:rFonts w:ascii="Arial" w:hAnsi="Arial" w:cs="Arial"/>
                <w:b w:val="0"/>
                <w:bCs w:val="0"/>
                <w:color w:val="000000"/>
                <w:szCs w:val="24"/>
                <w:rtl/>
                <w:lang w:eastAsia="en-US"/>
              </w:rPr>
            </w:pPr>
            <w:r w:rsidRPr="00756BE8">
              <w:rPr>
                <w:rFonts w:ascii="Arial" w:hAnsi="Arial" w:cs="Arial"/>
                <w:color w:val="000000"/>
                <w:szCs w:val="24"/>
                <w:rtl/>
              </w:rPr>
              <w:t>1</w:t>
            </w:r>
            <w:r>
              <w:rPr>
                <w:rFonts w:ascii="Arial" w:hAnsi="Arial" w:cs="Arial" w:hint="cs"/>
                <w:color w:val="000000"/>
                <w:szCs w:val="24"/>
                <w:rtl/>
              </w:rPr>
              <w:t>6</w:t>
            </w:r>
            <w:r w:rsidRPr="00756BE8">
              <w:rPr>
                <w:rFonts w:ascii="Arial" w:hAnsi="Arial" w:cs="Arial"/>
                <w:color w:val="000000"/>
                <w:szCs w:val="24"/>
                <w:rtl/>
              </w:rPr>
              <w:t>.</w:t>
            </w:r>
            <w:r>
              <w:rPr>
                <w:rFonts w:ascii="Arial" w:hAnsi="Arial" w:cs="Arial" w:hint="cs"/>
                <w:color w:val="000000"/>
                <w:szCs w:val="24"/>
                <w:rtl/>
              </w:rPr>
              <w:t>7</w:t>
            </w:r>
          </w:p>
        </w:tc>
        <w:tc>
          <w:tcPr>
            <w:tcW w:w="1390" w:type="dxa"/>
            <w:tcBorders>
              <w:left w:val="single" w:sz="8" w:space="0" w:color="auto"/>
              <w:bottom w:val="single" w:sz="4" w:space="0" w:color="auto"/>
              <w:right w:val="single" w:sz="8" w:space="0" w:color="000000"/>
            </w:tcBorders>
            <w:shd w:val="clear" w:color="auto" w:fill="auto"/>
            <w:vAlign w:val="center"/>
          </w:tcPr>
          <w:p w14:paraId="45326603" w14:textId="06C8500B" w:rsidR="000B2E6A" w:rsidRPr="00F073EC" w:rsidRDefault="000B2E6A" w:rsidP="000B2E6A">
            <w:pPr>
              <w:tabs>
                <w:tab w:val="decimal" w:pos="688"/>
              </w:tabs>
              <w:bidi w:val="0"/>
              <w:spacing w:before="80" w:after="80"/>
              <w:jc w:val="right"/>
              <w:rPr>
                <w:rFonts w:ascii="Arial" w:hAnsi="Arial" w:cs="Arial"/>
                <w:b w:val="0"/>
                <w:bCs w:val="0"/>
                <w:color w:val="000000"/>
                <w:szCs w:val="24"/>
                <w:rtl/>
                <w:lang w:eastAsia="en-US"/>
              </w:rPr>
            </w:pPr>
            <w:r w:rsidRPr="00F073EC">
              <w:rPr>
                <w:rFonts w:ascii="Arial" w:hAnsi="Arial" w:cs="Arial"/>
                <w:b w:val="0"/>
                <w:bCs w:val="0"/>
                <w:color w:val="000000"/>
                <w:szCs w:val="24"/>
                <w:rtl/>
              </w:rPr>
              <w:t>8.</w:t>
            </w:r>
            <w:r w:rsidRPr="00F073EC">
              <w:rPr>
                <w:rFonts w:ascii="Arial" w:hAnsi="Arial" w:cs="Arial" w:hint="cs"/>
                <w:b w:val="0"/>
                <w:bCs w:val="0"/>
                <w:color w:val="000000"/>
                <w:szCs w:val="24"/>
                <w:rtl/>
              </w:rPr>
              <w:t>4</w:t>
            </w:r>
          </w:p>
        </w:tc>
        <w:tc>
          <w:tcPr>
            <w:tcW w:w="1494" w:type="dxa"/>
            <w:tcBorders>
              <w:left w:val="single" w:sz="8" w:space="0" w:color="auto"/>
              <w:bottom w:val="single" w:sz="4" w:space="0" w:color="auto"/>
            </w:tcBorders>
            <w:shd w:val="clear" w:color="auto" w:fill="auto"/>
            <w:vAlign w:val="center"/>
          </w:tcPr>
          <w:p w14:paraId="398052FD" w14:textId="518150E9" w:rsidR="000B2E6A" w:rsidRPr="00F073EC" w:rsidRDefault="000B2E6A" w:rsidP="000B2E6A">
            <w:pPr>
              <w:tabs>
                <w:tab w:val="decimal" w:pos="752"/>
              </w:tabs>
              <w:bidi w:val="0"/>
              <w:spacing w:before="80" w:after="80"/>
              <w:jc w:val="right"/>
              <w:rPr>
                <w:rFonts w:ascii="Arial" w:hAnsi="Arial" w:cs="Arial"/>
                <w:b w:val="0"/>
                <w:bCs w:val="0"/>
                <w:color w:val="000000"/>
                <w:szCs w:val="24"/>
                <w:rtl/>
                <w:lang w:eastAsia="en-US"/>
              </w:rPr>
            </w:pPr>
            <w:r w:rsidRPr="00F073EC">
              <w:rPr>
                <w:rFonts w:ascii="Arial" w:hAnsi="Arial" w:cs="Arial" w:hint="cs"/>
                <w:b w:val="0"/>
                <w:bCs w:val="0"/>
                <w:color w:val="000000"/>
                <w:szCs w:val="24"/>
                <w:rtl/>
              </w:rPr>
              <w:t>7</w:t>
            </w:r>
            <w:r w:rsidRPr="00F073EC">
              <w:rPr>
                <w:rFonts w:ascii="Arial" w:hAnsi="Arial" w:cs="Arial"/>
                <w:b w:val="0"/>
                <w:bCs w:val="0"/>
                <w:color w:val="000000"/>
                <w:szCs w:val="24"/>
                <w:rtl/>
              </w:rPr>
              <w:t>.</w:t>
            </w:r>
            <w:r w:rsidRPr="00F073EC">
              <w:rPr>
                <w:rFonts w:ascii="Arial" w:hAnsi="Arial" w:cs="Arial" w:hint="cs"/>
                <w:b w:val="0"/>
                <w:bCs w:val="0"/>
                <w:color w:val="000000"/>
                <w:szCs w:val="24"/>
                <w:rtl/>
              </w:rPr>
              <w:t>9</w:t>
            </w:r>
          </w:p>
        </w:tc>
      </w:tr>
    </w:tbl>
    <w:p w14:paraId="787E6101" w14:textId="4C67BFBE" w:rsidR="00BA3B18" w:rsidRPr="000A55D3" w:rsidRDefault="000B60FD" w:rsidP="00F073EC">
      <w:pPr>
        <w:pStyle w:val="Heading2"/>
      </w:pPr>
      <w:r w:rsidRPr="000A55D3">
        <w:t>Students in</w:t>
      </w:r>
      <w:r w:rsidR="00F073EC">
        <w:t xml:space="preserve"> 2020</w:t>
      </w:r>
      <w:r w:rsidR="00B7180C">
        <w:t>/2</w:t>
      </w:r>
      <w:r w:rsidR="00F073EC">
        <w:t>1</w:t>
      </w:r>
      <w:r w:rsidR="00F073EC">
        <w:rPr>
          <w:rStyle w:val="FootnoteReference"/>
          <w:rFonts w:asciiTheme="minorBidi" w:hAnsiTheme="minorBidi"/>
          <w:b w:val="0"/>
          <w:bCs w:val="0"/>
        </w:rPr>
        <w:footnoteReference w:id="10"/>
      </w:r>
    </w:p>
    <w:p w14:paraId="27DDC099" w14:textId="31E46E9C" w:rsidR="002B7180" w:rsidRPr="000A55D3" w:rsidRDefault="002B7180" w:rsidP="00B35B81">
      <w:pPr>
        <w:bidi w:val="0"/>
        <w:spacing w:after="120" w:line="360" w:lineRule="auto"/>
        <w:rPr>
          <w:rFonts w:asciiTheme="minorBidi" w:hAnsiTheme="minorBidi" w:cstheme="minorBidi"/>
          <w:b w:val="0"/>
          <w:bCs w:val="0"/>
          <w:szCs w:val="24"/>
        </w:rPr>
      </w:pPr>
      <w:r w:rsidRPr="000A55D3">
        <w:rPr>
          <w:rFonts w:asciiTheme="minorBidi" w:hAnsiTheme="minorBidi" w:cstheme="minorBidi"/>
          <w:b w:val="0"/>
          <w:bCs w:val="0"/>
          <w:szCs w:val="24"/>
        </w:rPr>
        <w:t xml:space="preserve">In </w:t>
      </w:r>
      <w:r w:rsidR="00CE07B2">
        <w:rPr>
          <w:rFonts w:asciiTheme="minorBidi" w:hAnsiTheme="minorBidi" w:cstheme="minorBidi"/>
          <w:b w:val="0"/>
          <w:bCs w:val="0"/>
          <w:szCs w:val="24"/>
        </w:rPr>
        <w:t>20</w:t>
      </w:r>
      <w:r w:rsidR="00F073EC">
        <w:rPr>
          <w:rFonts w:asciiTheme="minorBidi" w:hAnsiTheme="minorBidi" w:cstheme="minorBidi"/>
          <w:b w:val="0"/>
          <w:bCs w:val="0"/>
          <w:szCs w:val="24"/>
        </w:rPr>
        <w:t>20</w:t>
      </w:r>
      <w:r w:rsidR="00CE07B2">
        <w:rPr>
          <w:rFonts w:asciiTheme="minorBidi" w:hAnsiTheme="minorBidi" w:cstheme="minorBidi"/>
          <w:b w:val="0"/>
          <w:bCs w:val="0"/>
          <w:szCs w:val="24"/>
        </w:rPr>
        <w:t>/2</w:t>
      </w:r>
      <w:r w:rsidR="00F073EC">
        <w:rPr>
          <w:rFonts w:asciiTheme="minorBidi" w:hAnsiTheme="minorBidi" w:cstheme="minorBidi"/>
          <w:b w:val="0"/>
          <w:bCs w:val="0"/>
          <w:szCs w:val="24"/>
        </w:rPr>
        <w:t>1</w:t>
      </w:r>
      <w:r w:rsidRPr="000A55D3">
        <w:rPr>
          <w:rFonts w:asciiTheme="minorBidi" w:hAnsiTheme="minorBidi" w:cstheme="minorBidi"/>
          <w:b w:val="0"/>
          <w:bCs w:val="0"/>
          <w:szCs w:val="24"/>
        </w:rPr>
        <w:t xml:space="preserve">, </w:t>
      </w:r>
      <w:r w:rsidR="00BA3B18" w:rsidRPr="000A55D3">
        <w:rPr>
          <w:rFonts w:asciiTheme="minorBidi" w:hAnsiTheme="minorBidi" w:cstheme="minorBidi"/>
          <w:b w:val="0"/>
          <w:bCs w:val="0"/>
          <w:szCs w:val="24"/>
        </w:rPr>
        <w:t>there were 6,</w:t>
      </w:r>
      <w:r w:rsidR="00F073EC">
        <w:rPr>
          <w:rFonts w:asciiTheme="minorBidi" w:hAnsiTheme="minorBidi" w:cstheme="minorBidi"/>
          <w:b w:val="0"/>
          <w:bCs w:val="0"/>
          <w:szCs w:val="24"/>
        </w:rPr>
        <w:t>9</w:t>
      </w:r>
      <w:r w:rsidRPr="000A55D3">
        <w:rPr>
          <w:rFonts w:asciiTheme="minorBidi" w:hAnsiTheme="minorBidi" w:cstheme="minorBidi"/>
          <w:b w:val="0"/>
          <w:bCs w:val="0"/>
          <w:szCs w:val="24"/>
        </w:rPr>
        <w:t>00 Christian students</w:t>
      </w:r>
      <w:r w:rsidR="0066793E" w:rsidRPr="000A55D3">
        <w:rPr>
          <w:rFonts w:asciiTheme="minorBidi" w:hAnsiTheme="minorBidi" w:cstheme="minorBidi"/>
          <w:b w:val="0"/>
          <w:bCs w:val="0"/>
          <w:szCs w:val="24"/>
        </w:rPr>
        <w:t>,</w:t>
      </w:r>
      <w:r w:rsidR="00BA3B18" w:rsidRPr="000A55D3">
        <w:rPr>
          <w:rFonts w:asciiTheme="minorBidi" w:hAnsiTheme="minorBidi" w:cstheme="minorBidi"/>
          <w:b w:val="0"/>
          <w:bCs w:val="0"/>
          <w:szCs w:val="24"/>
        </w:rPr>
        <w:t xml:space="preserve"> who</w:t>
      </w:r>
      <w:r w:rsidRPr="000A55D3">
        <w:rPr>
          <w:rFonts w:asciiTheme="minorBidi" w:hAnsiTheme="minorBidi" w:cstheme="minorBidi"/>
          <w:b w:val="0"/>
          <w:bCs w:val="0"/>
          <w:szCs w:val="24"/>
        </w:rPr>
        <w:t xml:space="preserve"> comprised </w:t>
      </w:r>
      <w:r w:rsidR="00BA3B18" w:rsidRPr="000A55D3">
        <w:rPr>
          <w:rFonts w:asciiTheme="minorBidi" w:hAnsiTheme="minorBidi" w:cstheme="minorBidi"/>
          <w:b w:val="0"/>
          <w:bCs w:val="0"/>
          <w:szCs w:val="24"/>
        </w:rPr>
        <w:t>2.</w:t>
      </w:r>
      <w:r w:rsidR="000B60FD" w:rsidRPr="000A55D3">
        <w:rPr>
          <w:rFonts w:asciiTheme="minorBidi" w:hAnsiTheme="minorBidi" w:cstheme="minorBidi"/>
          <w:b w:val="0"/>
          <w:bCs w:val="0"/>
          <w:szCs w:val="24"/>
        </w:rPr>
        <w:t>3</w:t>
      </w:r>
      <w:r w:rsidRPr="000A55D3">
        <w:rPr>
          <w:rFonts w:asciiTheme="minorBidi" w:hAnsiTheme="minorBidi" w:cstheme="minorBidi"/>
          <w:b w:val="0"/>
          <w:bCs w:val="0"/>
          <w:szCs w:val="24"/>
        </w:rPr>
        <w:t xml:space="preserve">% of </w:t>
      </w:r>
      <w:r w:rsidR="000B60FD" w:rsidRPr="000A55D3">
        <w:rPr>
          <w:rFonts w:asciiTheme="minorBidi" w:hAnsiTheme="minorBidi" w:cstheme="minorBidi"/>
          <w:b w:val="0"/>
          <w:bCs w:val="0"/>
          <w:szCs w:val="24"/>
        </w:rPr>
        <w:t>the total</w:t>
      </w:r>
      <w:r w:rsidRPr="000A55D3">
        <w:rPr>
          <w:rFonts w:asciiTheme="minorBidi" w:hAnsiTheme="minorBidi" w:cstheme="minorBidi"/>
          <w:b w:val="0"/>
          <w:bCs w:val="0"/>
          <w:szCs w:val="24"/>
        </w:rPr>
        <w:t xml:space="preserve"> students </w:t>
      </w:r>
      <w:r w:rsidR="00D339E2">
        <w:rPr>
          <w:rFonts w:asciiTheme="minorBidi" w:hAnsiTheme="minorBidi" w:cstheme="minorBidi"/>
          <w:b w:val="0"/>
          <w:bCs w:val="0"/>
          <w:szCs w:val="24"/>
        </w:rPr>
        <w:t>at</w:t>
      </w:r>
      <w:r w:rsidR="00D339E2" w:rsidRPr="000A55D3">
        <w:rPr>
          <w:rFonts w:asciiTheme="minorBidi" w:hAnsiTheme="minorBidi" w:cstheme="minorBidi"/>
          <w:b w:val="0"/>
          <w:bCs w:val="0"/>
          <w:szCs w:val="24"/>
        </w:rPr>
        <w:t xml:space="preserve"> </w:t>
      </w:r>
      <w:r w:rsidRPr="000A55D3">
        <w:rPr>
          <w:rFonts w:asciiTheme="minorBidi" w:hAnsiTheme="minorBidi" w:cstheme="minorBidi"/>
          <w:b w:val="0"/>
          <w:bCs w:val="0"/>
          <w:szCs w:val="24"/>
        </w:rPr>
        <w:t>all the institutions of higher education in Israel</w:t>
      </w:r>
      <w:r w:rsidR="00C578FE">
        <w:rPr>
          <w:rFonts w:asciiTheme="minorBidi" w:hAnsiTheme="minorBidi" w:cstheme="minorBidi"/>
          <w:b w:val="0"/>
          <w:bCs w:val="0"/>
          <w:szCs w:val="24"/>
        </w:rPr>
        <w:t xml:space="preserve"> – slightly more than their </w:t>
      </w:r>
      <w:r w:rsidR="0084395A">
        <w:rPr>
          <w:rFonts w:asciiTheme="minorBidi" w:hAnsiTheme="minorBidi" w:cstheme="minorBidi"/>
          <w:b w:val="0"/>
          <w:bCs w:val="0"/>
          <w:szCs w:val="24"/>
        </w:rPr>
        <w:t>share of</w:t>
      </w:r>
      <w:r w:rsidR="00C578FE">
        <w:rPr>
          <w:rFonts w:asciiTheme="minorBidi" w:hAnsiTheme="minorBidi" w:cstheme="minorBidi"/>
          <w:b w:val="0"/>
          <w:bCs w:val="0"/>
          <w:szCs w:val="24"/>
        </w:rPr>
        <w:t xml:space="preserve"> the population (about 2%).</w:t>
      </w:r>
      <w:r w:rsidR="002A3A3A">
        <w:rPr>
          <w:rFonts w:asciiTheme="minorBidi" w:hAnsiTheme="minorBidi" w:cstheme="minorBidi"/>
          <w:b w:val="0"/>
          <w:bCs w:val="0"/>
          <w:szCs w:val="24"/>
        </w:rPr>
        <w:t xml:space="preserve"> </w:t>
      </w:r>
      <w:r w:rsidRPr="000A55D3">
        <w:rPr>
          <w:rFonts w:asciiTheme="minorBidi" w:hAnsiTheme="minorBidi" w:cstheme="minorBidi"/>
          <w:b w:val="0"/>
          <w:bCs w:val="0"/>
          <w:szCs w:val="24"/>
        </w:rPr>
        <w:t>Among Christian students, 9</w:t>
      </w:r>
      <w:r w:rsidR="003107D3">
        <w:rPr>
          <w:rFonts w:asciiTheme="minorBidi" w:hAnsiTheme="minorBidi" w:cstheme="minorBidi"/>
          <w:b w:val="0"/>
          <w:bCs w:val="0"/>
          <w:szCs w:val="24"/>
        </w:rPr>
        <w:t>5</w:t>
      </w:r>
      <w:r w:rsidRPr="000A55D3">
        <w:rPr>
          <w:rFonts w:asciiTheme="minorBidi" w:hAnsiTheme="minorBidi" w:cstheme="minorBidi"/>
          <w:b w:val="0"/>
          <w:bCs w:val="0"/>
          <w:szCs w:val="24"/>
        </w:rPr>
        <w:t>.</w:t>
      </w:r>
      <w:r w:rsidR="003107D3">
        <w:rPr>
          <w:rFonts w:asciiTheme="minorBidi" w:hAnsiTheme="minorBidi" w:cstheme="minorBidi"/>
          <w:b w:val="0"/>
          <w:bCs w:val="0"/>
          <w:szCs w:val="24"/>
        </w:rPr>
        <w:t>0</w:t>
      </w:r>
      <w:r w:rsidRPr="000A55D3">
        <w:rPr>
          <w:rFonts w:asciiTheme="minorBidi" w:hAnsiTheme="minorBidi" w:cstheme="minorBidi"/>
          <w:b w:val="0"/>
          <w:bCs w:val="0"/>
          <w:szCs w:val="24"/>
        </w:rPr>
        <w:t>% (</w:t>
      </w:r>
      <w:r w:rsidR="00810024">
        <w:rPr>
          <w:rFonts w:asciiTheme="minorBidi" w:hAnsiTheme="minorBidi" w:cstheme="minorBidi"/>
          <w:b w:val="0"/>
          <w:bCs w:val="0"/>
          <w:szCs w:val="24"/>
        </w:rPr>
        <w:t>6,</w:t>
      </w:r>
      <w:r w:rsidR="003107D3">
        <w:rPr>
          <w:rFonts w:asciiTheme="minorBidi" w:hAnsiTheme="minorBidi" w:cstheme="minorBidi"/>
          <w:b w:val="0"/>
          <w:bCs w:val="0"/>
          <w:szCs w:val="24"/>
        </w:rPr>
        <w:t>6</w:t>
      </w:r>
      <w:r w:rsidR="00810024">
        <w:rPr>
          <w:rFonts w:asciiTheme="minorBidi" w:hAnsiTheme="minorBidi" w:cstheme="minorBidi"/>
          <w:b w:val="0"/>
          <w:bCs w:val="0"/>
          <w:szCs w:val="24"/>
        </w:rPr>
        <w:t>00</w:t>
      </w:r>
      <w:r w:rsidRPr="000A55D3">
        <w:rPr>
          <w:rFonts w:asciiTheme="minorBidi" w:hAnsiTheme="minorBidi" w:cstheme="minorBidi"/>
          <w:b w:val="0"/>
          <w:bCs w:val="0"/>
          <w:szCs w:val="24"/>
        </w:rPr>
        <w:t xml:space="preserve"> students) </w:t>
      </w:r>
      <w:r w:rsidR="00810024" w:rsidRPr="000A55D3">
        <w:rPr>
          <w:rFonts w:asciiTheme="minorBidi" w:hAnsiTheme="minorBidi" w:cstheme="minorBidi"/>
          <w:b w:val="0"/>
          <w:bCs w:val="0"/>
          <w:szCs w:val="24"/>
        </w:rPr>
        <w:t xml:space="preserve">were Arabs </w:t>
      </w:r>
      <w:r w:rsidRPr="000A55D3">
        <w:rPr>
          <w:rFonts w:asciiTheme="minorBidi" w:hAnsiTheme="minorBidi" w:cstheme="minorBidi"/>
          <w:b w:val="0"/>
          <w:bCs w:val="0"/>
          <w:szCs w:val="24"/>
        </w:rPr>
        <w:t xml:space="preserve">and </w:t>
      </w:r>
      <w:r w:rsidR="00472BED" w:rsidRPr="000A55D3">
        <w:rPr>
          <w:rFonts w:asciiTheme="minorBidi" w:hAnsiTheme="minorBidi" w:cstheme="minorBidi"/>
          <w:b w:val="0"/>
          <w:bCs w:val="0"/>
          <w:szCs w:val="24"/>
        </w:rPr>
        <w:t>5</w:t>
      </w:r>
      <w:r w:rsidRPr="000A55D3">
        <w:rPr>
          <w:rFonts w:asciiTheme="minorBidi" w:hAnsiTheme="minorBidi" w:cstheme="minorBidi"/>
          <w:b w:val="0"/>
          <w:bCs w:val="0"/>
          <w:szCs w:val="24"/>
        </w:rPr>
        <w:t>.</w:t>
      </w:r>
      <w:r w:rsidR="003107D3">
        <w:rPr>
          <w:rFonts w:asciiTheme="minorBidi" w:hAnsiTheme="minorBidi" w:cstheme="minorBidi"/>
          <w:b w:val="0"/>
          <w:bCs w:val="0"/>
          <w:szCs w:val="24"/>
        </w:rPr>
        <w:t>0</w:t>
      </w:r>
      <w:r w:rsidRPr="000A55D3">
        <w:rPr>
          <w:rFonts w:asciiTheme="minorBidi" w:hAnsiTheme="minorBidi" w:cstheme="minorBidi"/>
          <w:b w:val="0"/>
          <w:bCs w:val="0"/>
          <w:szCs w:val="24"/>
        </w:rPr>
        <w:t xml:space="preserve">% </w:t>
      </w:r>
      <w:r w:rsidR="0089295E">
        <w:rPr>
          <w:rFonts w:asciiTheme="minorBidi" w:hAnsiTheme="minorBidi" w:cstheme="minorBidi"/>
          <w:b w:val="0"/>
          <w:bCs w:val="0"/>
          <w:szCs w:val="24"/>
        </w:rPr>
        <w:t>(3</w:t>
      </w:r>
      <w:r w:rsidR="003107D3">
        <w:rPr>
          <w:rFonts w:asciiTheme="minorBidi" w:hAnsiTheme="minorBidi" w:cstheme="minorBidi"/>
          <w:b w:val="0"/>
          <w:bCs w:val="0"/>
          <w:szCs w:val="24"/>
        </w:rPr>
        <w:t>5</w:t>
      </w:r>
      <w:r w:rsidR="0089295E">
        <w:rPr>
          <w:rFonts w:asciiTheme="minorBidi" w:hAnsiTheme="minorBidi" w:cstheme="minorBidi"/>
          <w:b w:val="0"/>
          <w:bCs w:val="0"/>
          <w:szCs w:val="24"/>
        </w:rPr>
        <w:t xml:space="preserve">0 students) </w:t>
      </w:r>
      <w:r w:rsidR="00BA3B18" w:rsidRPr="000A55D3">
        <w:rPr>
          <w:rFonts w:asciiTheme="minorBidi" w:hAnsiTheme="minorBidi" w:cstheme="minorBidi"/>
          <w:b w:val="0"/>
          <w:bCs w:val="0"/>
          <w:szCs w:val="24"/>
        </w:rPr>
        <w:t>were non-Arab Christians</w:t>
      </w:r>
      <w:r w:rsidRPr="000A55D3">
        <w:rPr>
          <w:rFonts w:asciiTheme="minorBidi" w:hAnsiTheme="minorBidi" w:cstheme="minorBidi"/>
          <w:b w:val="0"/>
          <w:bCs w:val="0"/>
          <w:szCs w:val="24"/>
        </w:rPr>
        <w:t>.</w:t>
      </w:r>
    </w:p>
    <w:p w14:paraId="07C1CB98" w14:textId="520BC27B" w:rsidR="002F3391" w:rsidRDefault="002B7180" w:rsidP="002A3A3A">
      <w:pPr>
        <w:bidi w:val="0"/>
        <w:spacing w:after="120" w:line="360" w:lineRule="auto"/>
        <w:rPr>
          <w:rFonts w:asciiTheme="minorBidi" w:hAnsiTheme="minorBidi" w:cstheme="minorBidi"/>
          <w:b w:val="0"/>
          <w:bCs w:val="0"/>
          <w:szCs w:val="24"/>
        </w:rPr>
      </w:pPr>
      <w:r w:rsidRPr="000A55D3">
        <w:rPr>
          <w:rFonts w:asciiTheme="minorBidi" w:hAnsiTheme="minorBidi" w:cstheme="minorBidi"/>
          <w:b w:val="0"/>
          <w:bCs w:val="0"/>
          <w:szCs w:val="24"/>
        </w:rPr>
        <w:t xml:space="preserve">Among </w:t>
      </w:r>
      <w:r w:rsidR="00D610A5" w:rsidRPr="000A55D3">
        <w:rPr>
          <w:rFonts w:asciiTheme="minorBidi" w:hAnsiTheme="minorBidi" w:cstheme="minorBidi"/>
          <w:b w:val="0"/>
          <w:bCs w:val="0"/>
          <w:szCs w:val="24"/>
        </w:rPr>
        <w:t>the</w:t>
      </w:r>
      <w:r w:rsidRPr="000A55D3">
        <w:rPr>
          <w:rFonts w:asciiTheme="minorBidi" w:hAnsiTheme="minorBidi" w:cstheme="minorBidi"/>
          <w:b w:val="0"/>
          <w:bCs w:val="0"/>
          <w:szCs w:val="24"/>
        </w:rPr>
        <w:t xml:space="preserve"> Christian students, 7</w:t>
      </w:r>
      <w:r w:rsidR="003107D3">
        <w:rPr>
          <w:rFonts w:asciiTheme="minorBidi" w:hAnsiTheme="minorBidi" w:cstheme="minorBidi"/>
          <w:b w:val="0"/>
          <w:bCs w:val="0"/>
          <w:szCs w:val="24"/>
        </w:rPr>
        <w:t>1</w:t>
      </w:r>
      <w:r w:rsidRPr="000A55D3">
        <w:rPr>
          <w:rFonts w:asciiTheme="minorBidi" w:hAnsiTheme="minorBidi" w:cstheme="minorBidi"/>
          <w:b w:val="0"/>
          <w:bCs w:val="0"/>
          <w:szCs w:val="24"/>
        </w:rPr>
        <w:t>.</w:t>
      </w:r>
      <w:r w:rsidR="003107D3">
        <w:rPr>
          <w:rFonts w:asciiTheme="minorBidi" w:hAnsiTheme="minorBidi" w:cstheme="minorBidi"/>
          <w:b w:val="0"/>
          <w:bCs w:val="0"/>
          <w:szCs w:val="24"/>
        </w:rPr>
        <w:t>7</w:t>
      </w:r>
      <w:r w:rsidRPr="000A55D3">
        <w:rPr>
          <w:rFonts w:asciiTheme="minorBidi" w:hAnsiTheme="minorBidi" w:cstheme="minorBidi"/>
          <w:b w:val="0"/>
          <w:bCs w:val="0"/>
          <w:szCs w:val="24"/>
        </w:rPr>
        <w:t>% were studying for a first degree,</w:t>
      </w:r>
      <w:r w:rsidR="00472BED" w:rsidRPr="000A55D3">
        <w:rPr>
          <w:rFonts w:asciiTheme="minorBidi" w:hAnsiTheme="minorBidi" w:cstheme="minorBidi"/>
          <w:b w:val="0"/>
          <w:bCs w:val="0"/>
          <w:szCs w:val="24"/>
        </w:rPr>
        <w:t xml:space="preserve"> of whom </w:t>
      </w:r>
      <w:r w:rsidR="00C751D9">
        <w:rPr>
          <w:rFonts w:asciiTheme="minorBidi" w:hAnsiTheme="minorBidi" w:cstheme="minorBidi"/>
          <w:b w:val="0"/>
          <w:bCs w:val="0"/>
          <w:szCs w:val="24"/>
        </w:rPr>
        <w:t>2</w:t>
      </w:r>
      <w:r w:rsidR="003107D3">
        <w:rPr>
          <w:rFonts w:asciiTheme="minorBidi" w:hAnsiTheme="minorBidi" w:cstheme="minorBidi"/>
          <w:b w:val="0"/>
          <w:bCs w:val="0"/>
          <w:szCs w:val="24"/>
        </w:rPr>
        <w:t>1</w:t>
      </w:r>
      <w:r w:rsidR="00C751D9">
        <w:rPr>
          <w:rFonts w:asciiTheme="minorBidi" w:hAnsiTheme="minorBidi" w:cstheme="minorBidi"/>
          <w:b w:val="0"/>
          <w:bCs w:val="0"/>
          <w:szCs w:val="24"/>
        </w:rPr>
        <w:t>.</w:t>
      </w:r>
      <w:r w:rsidR="003107D3">
        <w:rPr>
          <w:rFonts w:asciiTheme="minorBidi" w:hAnsiTheme="minorBidi" w:cstheme="minorBidi"/>
          <w:b w:val="0"/>
          <w:bCs w:val="0"/>
          <w:szCs w:val="24"/>
        </w:rPr>
        <w:t>9</w:t>
      </w:r>
      <w:r w:rsidR="00472BED" w:rsidRPr="000A55D3">
        <w:rPr>
          <w:rFonts w:asciiTheme="minorBidi" w:hAnsiTheme="minorBidi" w:cstheme="minorBidi"/>
          <w:b w:val="0"/>
          <w:bCs w:val="0"/>
          <w:szCs w:val="24"/>
        </w:rPr>
        <w:t xml:space="preserve">% were in their first year (and </w:t>
      </w:r>
      <w:r w:rsidR="00C751D9">
        <w:rPr>
          <w:rFonts w:asciiTheme="minorBidi" w:hAnsiTheme="minorBidi" w:cstheme="minorBidi"/>
          <w:b w:val="0"/>
          <w:bCs w:val="0"/>
          <w:szCs w:val="24"/>
        </w:rPr>
        <w:t>49.</w:t>
      </w:r>
      <w:r w:rsidR="003107D3">
        <w:rPr>
          <w:rFonts w:asciiTheme="minorBidi" w:hAnsiTheme="minorBidi" w:cstheme="minorBidi"/>
          <w:b w:val="0"/>
          <w:bCs w:val="0"/>
          <w:szCs w:val="24"/>
        </w:rPr>
        <w:t>8</w:t>
      </w:r>
      <w:r w:rsidR="00472BED" w:rsidRPr="000A55D3">
        <w:rPr>
          <w:rFonts w:asciiTheme="minorBidi" w:hAnsiTheme="minorBidi" w:cstheme="minorBidi"/>
          <w:b w:val="0"/>
          <w:bCs w:val="0"/>
          <w:szCs w:val="24"/>
        </w:rPr>
        <w:t>% were in the other years); 2</w:t>
      </w:r>
      <w:r w:rsidR="003107D3">
        <w:rPr>
          <w:rFonts w:asciiTheme="minorBidi" w:hAnsiTheme="minorBidi" w:cstheme="minorBidi"/>
          <w:b w:val="0"/>
          <w:bCs w:val="0"/>
          <w:szCs w:val="24"/>
        </w:rPr>
        <w:t>2</w:t>
      </w:r>
      <w:r w:rsidR="00BA3B18" w:rsidRPr="000A55D3">
        <w:rPr>
          <w:rFonts w:asciiTheme="minorBidi" w:hAnsiTheme="minorBidi" w:cstheme="minorBidi"/>
          <w:b w:val="0"/>
          <w:bCs w:val="0"/>
          <w:szCs w:val="24"/>
        </w:rPr>
        <w:t>.</w:t>
      </w:r>
      <w:r w:rsidR="003107D3">
        <w:rPr>
          <w:rFonts w:asciiTheme="minorBidi" w:hAnsiTheme="minorBidi" w:cstheme="minorBidi"/>
          <w:b w:val="0"/>
          <w:bCs w:val="0"/>
          <w:szCs w:val="24"/>
        </w:rPr>
        <w:t>1</w:t>
      </w:r>
      <w:r w:rsidRPr="000A55D3">
        <w:rPr>
          <w:rFonts w:asciiTheme="minorBidi" w:hAnsiTheme="minorBidi" w:cstheme="minorBidi"/>
          <w:b w:val="0"/>
          <w:bCs w:val="0"/>
          <w:szCs w:val="24"/>
        </w:rPr>
        <w:t>% were studying for a second degree</w:t>
      </w:r>
      <w:r w:rsidR="00BA3B18" w:rsidRPr="000A55D3">
        <w:rPr>
          <w:rFonts w:asciiTheme="minorBidi" w:hAnsiTheme="minorBidi" w:cstheme="minorBidi"/>
          <w:b w:val="0"/>
          <w:bCs w:val="0"/>
          <w:szCs w:val="24"/>
        </w:rPr>
        <w:t>,</w:t>
      </w:r>
      <w:r w:rsidRPr="000A55D3">
        <w:rPr>
          <w:rFonts w:asciiTheme="minorBidi" w:hAnsiTheme="minorBidi" w:cstheme="minorBidi"/>
          <w:b w:val="0"/>
          <w:bCs w:val="0"/>
          <w:szCs w:val="24"/>
        </w:rPr>
        <w:t xml:space="preserve"> and </w:t>
      </w:r>
      <w:r w:rsidR="00472BED" w:rsidRPr="000A55D3">
        <w:rPr>
          <w:rFonts w:asciiTheme="minorBidi" w:hAnsiTheme="minorBidi" w:cstheme="minorBidi"/>
          <w:b w:val="0"/>
          <w:bCs w:val="0"/>
          <w:szCs w:val="24"/>
        </w:rPr>
        <w:t>3</w:t>
      </w:r>
      <w:r w:rsidRPr="000A55D3">
        <w:rPr>
          <w:rFonts w:asciiTheme="minorBidi" w:hAnsiTheme="minorBidi" w:cstheme="minorBidi"/>
          <w:b w:val="0"/>
          <w:bCs w:val="0"/>
          <w:szCs w:val="24"/>
        </w:rPr>
        <w:t>.</w:t>
      </w:r>
      <w:r w:rsidR="003107D3">
        <w:rPr>
          <w:rFonts w:asciiTheme="minorBidi" w:hAnsiTheme="minorBidi" w:cstheme="minorBidi"/>
          <w:b w:val="0"/>
          <w:bCs w:val="0"/>
          <w:szCs w:val="24"/>
        </w:rPr>
        <w:t>9</w:t>
      </w:r>
      <w:r w:rsidRPr="000A55D3">
        <w:rPr>
          <w:rFonts w:asciiTheme="minorBidi" w:hAnsiTheme="minorBidi" w:cstheme="minorBidi"/>
          <w:b w:val="0"/>
          <w:bCs w:val="0"/>
          <w:szCs w:val="24"/>
        </w:rPr>
        <w:t>% were studying for a third degree.</w:t>
      </w:r>
      <w:r w:rsidR="002A3A3A">
        <w:rPr>
          <w:rFonts w:asciiTheme="minorBidi" w:hAnsiTheme="minorBidi" w:cstheme="minorBidi"/>
          <w:b w:val="0"/>
          <w:bCs w:val="0"/>
          <w:szCs w:val="24"/>
        </w:rPr>
        <w:t xml:space="preserve"> </w:t>
      </w:r>
      <w:r w:rsidRPr="000A55D3">
        <w:rPr>
          <w:rFonts w:asciiTheme="minorBidi" w:hAnsiTheme="minorBidi" w:cstheme="minorBidi"/>
          <w:b w:val="0"/>
          <w:bCs w:val="0"/>
          <w:szCs w:val="24"/>
        </w:rPr>
        <w:t xml:space="preserve">Christian students comprised </w:t>
      </w:r>
      <w:r w:rsidR="00BA3B18" w:rsidRPr="000A55D3">
        <w:rPr>
          <w:rFonts w:asciiTheme="minorBidi" w:hAnsiTheme="minorBidi" w:cstheme="minorBidi"/>
          <w:b w:val="0"/>
          <w:bCs w:val="0"/>
          <w:szCs w:val="24"/>
        </w:rPr>
        <w:t>2.</w:t>
      </w:r>
      <w:r w:rsidR="003107D3">
        <w:rPr>
          <w:rFonts w:asciiTheme="minorBidi" w:hAnsiTheme="minorBidi" w:cstheme="minorBidi"/>
          <w:b w:val="0"/>
          <w:bCs w:val="0"/>
          <w:szCs w:val="24"/>
        </w:rPr>
        <w:t>3</w:t>
      </w:r>
      <w:r w:rsidRPr="000A55D3">
        <w:rPr>
          <w:rFonts w:asciiTheme="minorBidi" w:hAnsiTheme="minorBidi" w:cstheme="minorBidi"/>
          <w:b w:val="0"/>
          <w:bCs w:val="0"/>
          <w:szCs w:val="24"/>
        </w:rPr>
        <w:t xml:space="preserve">% of </w:t>
      </w:r>
      <w:r w:rsidR="00D610A5" w:rsidRPr="000A55D3">
        <w:rPr>
          <w:rFonts w:asciiTheme="minorBidi" w:hAnsiTheme="minorBidi" w:cstheme="minorBidi"/>
          <w:b w:val="0"/>
          <w:bCs w:val="0"/>
          <w:szCs w:val="24"/>
        </w:rPr>
        <w:t xml:space="preserve">the </w:t>
      </w:r>
      <w:r w:rsidRPr="000A55D3">
        <w:rPr>
          <w:rFonts w:asciiTheme="minorBidi" w:hAnsiTheme="minorBidi" w:cstheme="minorBidi"/>
          <w:b w:val="0"/>
          <w:bCs w:val="0"/>
          <w:szCs w:val="24"/>
        </w:rPr>
        <w:t xml:space="preserve">total </w:t>
      </w:r>
      <w:r w:rsidR="00D610A5" w:rsidRPr="000A55D3">
        <w:rPr>
          <w:rFonts w:asciiTheme="minorBidi" w:hAnsiTheme="minorBidi" w:cstheme="minorBidi"/>
          <w:b w:val="0"/>
          <w:bCs w:val="0"/>
          <w:szCs w:val="24"/>
        </w:rPr>
        <w:t xml:space="preserve">number of </w:t>
      </w:r>
      <w:r w:rsidRPr="000A55D3">
        <w:rPr>
          <w:rFonts w:asciiTheme="minorBidi" w:hAnsiTheme="minorBidi" w:cstheme="minorBidi"/>
          <w:b w:val="0"/>
          <w:bCs w:val="0"/>
          <w:szCs w:val="24"/>
        </w:rPr>
        <w:t>students studying for a first degree, 2.</w:t>
      </w:r>
      <w:r w:rsidR="003107D3">
        <w:rPr>
          <w:rFonts w:asciiTheme="minorBidi" w:hAnsiTheme="minorBidi" w:cstheme="minorBidi"/>
          <w:b w:val="0"/>
          <w:bCs w:val="0"/>
          <w:szCs w:val="24"/>
        </w:rPr>
        <w:t>3</w:t>
      </w:r>
      <w:r w:rsidRPr="000A55D3">
        <w:rPr>
          <w:rFonts w:asciiTheme="minorBidi" w:hAnsiTheme="minorBidi" w:cstheme="minorBidi"/>
          <w:b w:val="0"/>
          <w:bCs w:val="0"/>
          <w:szCs w:val="24"/>
        </w:rPr>
        <w:t xml:space="preserve">% of </w:t>
      </w:r>
      <w:r w:rsidR="00472BED" w:rsidRPr="000A55D3">
        <w:rPr>
          <w:rFonts w:asciiTheme="minorBidi" w:hAnsiTheme="minorBidi" w:cstheme="minorBidi"/>
          <w:b w:val="0"/>
          <w:bCs w:val="0"/>
          <w:szCs w:val="24"/>
        </w:rPr>
        <w:t xml:space="preserve">the </w:t>
      </w:r>
      <w:r w:rsidRPr="000A55D3">
        <w:rPr>
          <w:rFonts w:asciiTheme="minorBidi" w:hAnsiTheme="minorBidi" w:cstheme="minorBidi"/>
          <w:b w:val="0"/>
          <w:bCs w:val="0"/>
          <w:szCs w:val="24"/>
        </w:rPr>
        <w:t xml:space="preserve">total students studying for a second degree, and </w:t>
      </w:r>
      <w:r w:rsidR="00417866">
        <w:rPr>
          <w:rFonts w:asciiTheme="minorBidi" w:hAnsiTheme="minorBidi" w:cstheme="minorBidi"/>
          <w:b w:val="0"/>
          <w:bCs w:val="0"/>
          <w:szCs w:val="24"/>
        </w:rPr>
        <w:t>2.</w:t>
      </w:r>
      <w:r w:rsidR="003107D3">
        <w:rPr>
          <w:rFonts w:asciiTheme="minorBidi" w:hAnsiTheme="minorBidi" w:cstheme="minorBidi"/>
          <w:b w:val="0"/>
          <w:bCs w:val="0"/>
          <w:szCs w:val="24"/>
        </w:rPr>
        <w:t>2</w:t>
      </w:r>
      <w:r w:rsidRPr="000A55D3">
        <w:rPr>
          <w:rFonts w:asciiTheme="minorBidi" w:hAnsiTheme="minorBidi" w:cstheme="minorBidi"/>
          <w:b w:val="0"/>
          <w:bCs w:val="0"/>
          <w:szCs w:val="24"/>
        </w:rPr>
        <w:t xml:space="preserve">% of </w:t>
      </w:r>
      <w:r w:rsidR="004B59DD" w:rsidRPr="000A55D3">
        <w:rPr>
          <w:rFonts w:asciiTheme="minorBidi" w:hAnsiTheme="minorBidi" w:cstheme="minorBidi"/>
          <w:b w:val="0"/>
          <w:bCs w:val="0"/>
          <w:szCs w:val="24"/>
        </w:rPr>
        <w:t xml:space="preserve">the </w:t>
      </w:r>
      <w:r w:rsidRPr="000A55D3">
        <w:rPr>
          <w:rFonts w:asciiTheme="minorBidi" w:hAnsiTheme="minorBidi" w:cstheme="minorBidi"/>
          <w:b w:val="0"/>
          <w:bCs w:val="0"/>
          <w:szCs w:val="24"/>
        </w:rPr>
        <w:t>total students studying for a third degree.</w:t>
      </w:r>
    </w:p>
    <w:p w14:paraId="2830D9E7" w14:textId="77777777" w:rsidR="002F3391" w:rsidRDefault="002F3391">
      <w:pPr>
        <w:bidi w:val="0"/>
        <w:rPr>
          <w:rFonts w:asciiTheme="minorBidi" w:hAnsiTheme="minorBidi" w:cstheme="minorBidi"/>
          <w:b w:val="0"/>
          <w:bCs w:val="0"/>
          <w:szCs w:val="24"/>
        </w:rPr>
      </w:pPr>
      <w:r>
        <w:rPr>
          <w:rFonts w:asciiTheme="minorBidi" w:hAnsiTheme="minorBidi" w:cstheme="minorBidi"/>
          <w:b w:val="0"/>
          <w:bCs w:val="0"/>
          <w:szCs w:val="24"/>
        </w:rPr>
        <w:br w:type="page"/>
      </w:r>
    </w:p>
    <w:p w14:paraId="30AC4576" w14:textId="072D7E7B" w:rsidR="002B7180" w:rsidRPr="00E06F71" w:rsidRDefault="003E12CA" w:rsidP="00E06F71">
      <w:pPr>
        <w:bidi w:val="0"/>
        <w:spacing w:after="120" w:line="360" w:lineRule="auto"/>
        <w:rPr>
          <w:rFonts w:asciiTheme="minorBidi" w:hAnsiTheme="minorBidi" w:cstheme="minorBidi"/>
          <w:b w:val="0"/>
          <w:bCs w:val="0"/>
          <w:szCs w:val="24"/>
        </w:rPr>
      </w:pPr>
      <w:r w:rsidRPr="00E06F71">
        <w:rPr>
          <w:rFonts w:asciiTheme="minorBidi" w:hAnsiTheme="minorBidi" w:cstheme="minorBidi"/>
          <w:b w:val="0"/>
          <w:bCs w:val="0"/>
          <w:szCs w:val="24"/>
        </w:rPr>
        <w:t>Of</w:t>
      </w:r>
      <w:r w:rsidR="00BA3B18" w:rsidRPr="00E06F71">
        <w:rPr>
          <w:rFonts w:asciiTheme="minorBidi" w:hAnsiTheme="minorBidi" w:cstheme="minorBidi"/>
          <w:b w:val="0"/>
          <w:bCs w:val="0"/>
          <w:szCs w:val="24"/>
        </w:rPr>
        <w:t xml:space="preserve"> t</w:t>
      </w:r>
      <w:r w:rsidR="00D610A5" w:rsidRPr="00E06F71">
        <w:rPr>
          <w:rFonts w:asciiTheme="minorBidi" w:hAnsiTheme="minorBidi" w:cstheme="minorBidi"/>
          <w:b w:val="0"/>
          <w:bCs w:val="0"/>
          <w:szCs w:val="24"/>
        </w:rPr>
        <w:t>he</w:t>
      </w:r>
      <w:r w:rsidR="00BA3B18" w:rsidRPr="00E06F71">
        <w:rPr>
          <w:rFonts w:asciiTheme="minorBidi" w:hAnsiTheme="minorBidi" w:cstheme="minorBidi"/>
          <w:b w:val="0"/>
          <w:bCs w:val="0"/>
          <w:szCs w:val="24"/>
        </w:rPr>
        <w:t xml:space="preserve"> Christian students, </w:t>
      </w:r>
      <w:r w:rsidR="00283EAF" w:rsidRPr="00E06F71">
        <w:rPr>
          <w:rFonts w:asciiTheme="minorBidi" w:hAnsiTheme="minorBidi" w:cstheme="minorBidi"/>
          <w:b w:val="0"/>
          <w:bCs w:val="0"/>
          <w:szCs w:val="24"/>
        </w:rPr>
        <w:t>5</w:t>
      </w:r>
      <w:r w:rsidR="00E06F71">
        <w:rPr>
          <w:rFonts w:asciiTheme="minorBidi" w:hAnsiTheme="minorBidi" w:cstheme="minorBidi"/>
          <w:b w:val="0"/>
          <w:bCs w:val="0"/>
          <w:szCs w:val="24"/>
        </w:rPr>
        <w:t>0</w:t>
      </w:r>
      <w:r w:rsidR="00283EAF" w:rsidRPr="00E06F71">
        <w:rPr>
          <w:rFonts w:asciiTheme="minorBidi" w:hAnsiTheme="minorBidi" w:cstheme="minorBidi"/>
          <w:b w:val="0"/>
          <w:bCs w:val="0"/>
          <w:szCs w:val="24"/>
        </w:rPr>
        <w:t>.</w:t>
      </w:r>
      <w:r w:rsidR="00E06F71">
        <w:rPr>
          <w:rFonts w:asciiTheme="minorBidi" w:hAnsiTheme="minorBidi" w:cstheme="minorBidi"/>
          <w:b w:val="0"/>
          <w:bCs w:val="0"/>
          <w:szCs w:val="24"/>
        </w:rPr>
        <w:t>7</w:t>
      </w:r>
      <w:r w:rsidR="00BA3B18" w:rsidRPr="00E06F71">
        <w:rPr>
          <w:rFonts w:asciiTheme="minorBidi" w:hAnsiTheme="minorBidi" w:cstheme="minorBidi"/>
          <w:b w:val="0"/>
          <w:bCs w:val="0"/>
          <w:szCs w:val="24"/>
        </w:rPr>
        <w:t xml:space="preserve">% studied at universities, </w:t>
      </w:r>
      <w:r w:rsidR="00283EAF" w:rsidRPr="00E06F71">
        <w:rPr>
          <w:rFonts w:asciiTheme="minorBidi" w:hAnsiTheme="minorBidi" w:cstheme="minorBidi"/>
          <w:b w:val="0"/>
          <w:bCs w:val="0"/>
          <w:szCs w:val="24"/>
        </w:rPr>
        <w:t>3</w:t>
      </w:r>
      <w:r w:rsidR="00E06F71">
        <w:rPr>
          <w:rFonts w:asciiTheme="minorBidi" w:hAnsiTheme="minorBidi" w:cstheme="minorBidi"/>
          <w:b w:val="0"/>
          <w:bCs w:val="0"/>
          <w:szCs w:val="24"/>
        </w:rPr>
        <w:t>9</w:t>
      </w:r>
      <w:r w:rsidR="00283EAF" w:rsidRPr="00E06F71">
        <w:rPr>
          <w:rFonts w:asciiTheme="minorBidi" w:hAnsiTheme="minorBidi" w:cstheme="minorBidi"/>
          <w:b w:val="0"/>
          <w:bCs w:val="0"/>
          <w:szCs w:val="24"/>
        </w:rPr>
        <w:t>.</w:t>
      </w:r>
      <w:r w:rsidR="00E06F71">
        <w:rPr>
          <w:rFonts w:asciiTheme="minorBidi" w:hAnsiTheme="minorBidi" w:cstheme="minorBidi"/>
          <w:b w:val="0"/>
          <w:bCs w:val="0"/>
          <w:szCs w:val="24"/>
        </w:rPr>
        <w:t>1</w:t>
      </w:r>
      <w:r w:rsidR="00BA3B18" w:rsidRPr="00E06F71">
        <w:rPr>
          <w:rFonts w:asciiTheme="minorBidi" w:hAnsiTheme="minorBidi" w:cstheme="minorBidi"/>
          <w:b w:val="0"/>
          <w:bCs w:val="0"/>
          <w:szCs w:val="24"/>
        </w:rPr>
        <w:t xml:space="preserve">% </w:t>
      </w:r>
      <w:r w:rsidRPr="00E06F71">
        <w:rPr>
          <w:rFonts w:asciiTheme="minorBidi" w:hAnsiTheme="minorBidi" w:cstheme="minorBidi"/>
          <w:b w:val="0"/>
          <w:bCs w:val="0"/>
          <w:szCs w:val="24"/>
        </w:rPr>
        <w:t xml:space="preserve">studied </w:t>
      </w:r>
      <w:r w:rsidR="00BA3B18" w:rsidRPr="00E06F71">
        <w:rPr>
          <w:rFonts w:asciiTheme="minorBidi" w:hAnsiTheme="minorBidi" w:cstheme="minorBidi"/>
          <w:b w:val="0"/>
          <w:bCs w:val="0"/>
          <w:szCs w:val="24"/>
        </w:rPr>
        <w:t>at academic colleges</w:t>
      </w:r>
      <w:r w:rsidRPr="00E06F71">
        <w:rPr>
          <w:rFonts w:asciiTheme="minorBidi" w:hAnsiTheme="minorBidi" w:cstheme="minorBidi"/>
          <w:b w:val="0"/>
          <w:bCs w:val="0"/>
          <w:szCs w:val="24"/>
        </w:rPr>
        <w:t xml:space="preserve"> (</w:t>
      </w:r>
      <w:r w:rsidR="00283EAF" w:rsidRPr="00E06F71">
        <w:rPr>
          <w:rFonts w:asciiTheme="minorBidi" w:hAnsiTheme="minorBidi" w:cstheme="minorBidi"/>
          <w:b w:val="0"/>
          <w:bCs w:val="0"/>
          <w:szCs w:val="24"/>
        </w:rPr>
        <w:t>23.</w:t>
      </w:r>
      <w:r w:rsidR="00E06F71">
        <w:rPr>
          <w:rFonts w:asciiTheme="minorBidi" w:hAnsiTheme="minorBidi" w:cstheme="minorBidi"/>
          <w:b w:val="0"/>
          <w:bCs w:val="0"/>
          <w:szCs w:val="24"/>
        </w:rPr>
        <w:t>1</w:t>
      </w:r>
      <w:r w:rsidRPr="00E06F71">
        <w:rPr>
          <w:rFonts w:asciiTheme="minorBidi" w:hAnsiTheme="minorBidi" w:cstheme="minorBidi"/>
          <w:b w:val="0"/>
          <w:bCs w:val="0"/>
          <w:szCs w:val="24"/>
        </w:rPr>
        <w:t xml:space="preserve">% at </w:t>
      </w:r>
      <w:r w:rsidR="00A9043C" w:rsidRPr="00E06F71">
        <w:rPr>
          <w:rFonts w:asciiTheme="minorBidi" w:hAnsiTheme="minorBidi" w:cstheme="minorBidi"/>
          <w:b w:val="0"/>
          <w:bCs w:val="0"/>
          <w:szCs w:val="24"/>
        </w:rPr>
        <w:t xml:space="preserve">budgeted </w:t>
      </w:r>
      <w:r w:rsidRPr="00E06F71">
        <w:rPr>
          <w:rFonts w:asciiTheme="minorBidi" w:hAnsiTheme="minorBidi" w:cstheme="minorBidi"/>
          <w:b w:val="0"/>
          <w:bCs w:val="0"/>
          <w:szCs w:val="24"/>
        </w:rPr>
        <w:t>colleges</w:t>
      </w:r>
      <w:r w:rsidR="00BA3B18" w:rsidRPr="00E06F71">
        <w:rPr>
          <w:rFonts w:asciiTheme="minorBidi" w:hAnsiTheme="minorBidi" w:cstheme="minorBidi"/>
          <w:b w:val="0"/>
          <w:bCs w:val="0"/>
          <w:szCs w:val="24"/>
        </w:rPr>
        <w:t xml:space="preserve"> </w:t>
      </w:r>
      <w:r w:rsidRPr="00E06F71">
        <w:rPr>
          <w:rFonts w:asciiTheme="minorBidi" w:hAnsiTheme="minorBidi" w:cstheme="minorBidi"/>
          <w:b w:val="0"/>
          <w:bCs w:val="0"/>
          <w:szCs w:val="24"/>
        </w:rPr>
        <w:t xml:space="preserve">and </w:t>
      </w:r>
      <w:r w:rsidR="00283EAF" w:rsidRPr="00E06F71">
        <w:rPr>
          <w:rFonts w:asciiTheme="minorBidi" w:hAnsiTheme="minorBidi" w:cstheme="minorBidi"/>
          <w:b w:val="0"/>
          <w:bCs w:val="0"/>
          <w:szCs w:val="24"/>
        </w:rPr>
        <w:t>1</w:t>
      </w:r>
      <w:r w:rsidR="00E06F71">
        <w:rPr>
          <w:rFonts w:asciiTheme="minorBidi" w:hAnsiTheme="minorBidi" w:cstheme="minorBidi"/>
          <w:b w:val="0"/>
          <w:bCs w:val="0"/>
          <w:szCs w:val="24"/>
        </w:rPr>
        <w:t>6</w:t>
      </w:r>
      <w:r w:rsidR="00283EAF" w:rsidRPr="00E06F71">
        <w:rPr>
          <w:rFonts w:asciiTheme="minorBidi" w:hAnsiTheme="minorBidi" w:cstheme="minorBidi"/>
          <w:b w:val="0"/>
          <w:bCs w:val="0"/>
          <w:szCs w:val="24"/>
        </w:rPr>
        <w:t>.</w:t>
      </w:r>
      <w:r w:rsidR="00E06F71">
        <w:rPr>
          <w:rFonts w:asciiTheme="minorBidi" w:hAnsiTheme="minorBidi" w:cstheme="minorBidi"/>
          <w:b w:val="0"/>
          <w:bCs w:val="0"/>
          <w:szCs w:val="24"/>
        </w:rPr>
        <w:t>0</w:t>
      </w:r>
      <w:r w:rsidRPr="00E06F71">
        <w:rPr>
          <w:rFonts w:asciiTheme="minorBidi" w:hAnsiTheme="minorBidi" w:cstheme="minorBidi"/>
          <w:b w:val="0"/>
          <w:bCs w:val="0"/>
          <w:szCs w:val="24"/>
        </w:rPr>
        <w:t>% at non-</w:t>
      </w:r>
      <w:r w:rsidR="00AF65AE" w:rsidRPr="00E06F71">
        <w:rPr>
          <w:rFonts w:asciiTheme="minorBidi" w:hAnsiTheme="minorBidi" w:cstheme="minorBidi"/>
          <w:b w:val="0"/>
          <w:bCs w:val="0"/>
          <w:szCs w:val="24"/>
        </w:rPr>
        <w:t>budgeted</w:t>
      </w:r>
      <w:r w:rsidRPr="00E06F71">
        <w:rPr>
          <w:rFonts w:asciiTheme="minorBidi" w:hAnsiTheme="minorBidi" w:cstheme="minorBidi"/>
          <w:b w:val="0"/>
          <w:bCs w:val="0"/>
          <w:szCs w:val="24"/>
        </w:rPr>
        <w:t xml:space="preserve"> colleges) </w:t>
      </w:r>
      <w:r w:rsidR="00BA3B18" w:rsidRPr="00E06F71">
        <w:rPr>
          <w:rFonts w:asciiTheme="minorBidi" w:hAnsiTheme="minorBidi" w:cstheme="minorBidi"/>
          <w:b w:val="0"/>
          <w:bCs w:val="0"/>
          <w:szCs w:val="24"/>
        </w:rPr>
        <w:t xml:space="preserve">and </w:t>
      </w:r>
      <w:r w:rsidR="00283EAF" w:rsidRPr="00E06F71">
        <w:rPr>
          <w:rFonts w:asciiTheme="minorBidi" w:hAnsiTheme="minorBidi" w:cstheme="minorBidi"/>
          <w:b w:val="0"/>
          <w:bCs w:val="0"/>
          <w:szCs w:val="24"/>
        </w:rPr>
        <w:t>1</w:t>
      </w:r>
      <w:r w:rsidR="00E06F71">
        <w:rPr>
          <w:rFonts w:asciiTheme="minorBidi" w:hAnsiTheme="minorBidi" w:cstheme="minorBidi"/>
          <w:b w:val="0"/>
          <w:bCs w:val="0"/>
          <w:szCs w:val="24"/>
        </w:rPr>
        <w:t>0</w:t>
      </w:r>
      <w:r w:rsidR="00283EAF" w:rsidRPr="00E06F71">
        <w:rPr>
          <w:rFonts w:asciiTheme="minorBidi" w:hAnsiTheme="minorBidi" w:cstheme="minorBidi"/>
          <w:b w:val="0"/>
          <w:bCs w:val="0"/>
          <w:szCs w:val="24"/>
        </w:rPr>
        <w:t>.</w:t>
      </w:r>
      <w:r w:rsidR="00E06F71">
        <w:rPr>
          <w:rFonts w:asciiTheme="minorBidi" w:hAnsiTheme="minorBidi" w:cstheme="minorBidi"/>
          <w:b w:val="0"/>
          <w:bCs w:val="0"/>
          <w:szCs w:val="24"/>
        </w:rPr>
        <w:t>2</w:t>
      </w:r>
      <w:r w:rsidR="00BA3B18" w:rsidRPr="00E06F71">
        <w:rPr>
          <w:rFonts w:asciiTheme="minorBidi" w:hAnsiTheme="minorBidi" w:cstheme="minorBidi"/>
          <w:b w:val="0"/>
          <w:bCs w:val="0"/>
          <w:szCs w:val="24"/>
        </w:rPr>
        <w:t xml:space="preserve">% </w:t>
      </w:r>
      <w:r w:rsidRPr="00E06F71">
        <w:rPr>
          <w:rFonts w:asciiTheme="minorBidi" w:hAnsiTheme="minorBidi" w:cstheme="minorBidi"/>
          <w:b w:val="0"/>
          <w:bCs w:val="0"/>
          <w:szCs w:val="24"/>
        </w:rPr>
        <w:t xml:space="preserve">studied </w:t>
      </w:r>
      <w:r w:rsidR="00BA3B18" w:rsidRPr="00E06F71">
        <w:rPr>
          <w:rFonts w:asciiTheme="minorBidi" w:hAnsiTheme="minorBidi" w:cstheme="minorBidi"/>
          <w:b w:val="0"/>
          <w:bCs w:val="0"/>
          <w:szCs w:val="24"/>
        </w:rPr>
        <w:t>at academic colleges of education.</w:t>
      </w:r>
    </w:p>
    <w:p w14:paraId="5BF18A88" w14:textId="489D7967" w:rsidR="00AB43F2" w:rsidRDefault="00BA3B18" w:rsidP="002A3A3A">
      <w:pPr>
        <w:bidi w:val="0"/>
        <w:spacing w:after="120" w:line="360" w:lineRule="auto"/>
        <w:rPr>
          <w:rFonts w:asciiTheme="minorBidi" w:hAnsiTheme="minorBidi" w:cstheme="minorBidi"/>
          <w:b w:val="0"/>
          <w:bCs w:val="0"/>
          <w:szCs w:val="24"/>
        </w:rPr>
      </w:pPr>
      <w:r w:rsidRPr="000A55D3">
        <w:rPr>
          <w:rFonts w:asciiTheme="minorBidi" w:hAnsiTheme="minorBidi" w:cstheme="minorBidi"/>
          <w:b w:val="0"/>
          <w:bCs w:val="0"/>
          <w:szCs w:val="24"/>
        </w:rPr>
        <w:t>Christian students comprised 2.</w:t>
      </w:r>
      <w:r w:rsidR="003E12CA" w:rsidRPr="000A55D3">
        <w:rPr>
          <w:rFonts w:asciiTheme="minorBidi" w:hAnsiTheme="minorBidi" w:cstheme="minorBidi"/>
          <w:b w:val="0"/>
          <w:bCs w:val="0"/>
          <w:szCs w:val="24"/>
        </w:rPr>
        <w:t>6</w:t>
      </w:r>
      <w:r w:rsidRPr="000A55D3">
        <w:rPr>
          <w:rFonts w:asciiTheme="minorBidi" w:hAnsiTheme="minorBidi" w:cstheme="minorBidi"/>
          <w:b w:val="0"/>
          <w:bCs w:val="0"/>
          <w:szCs w:val="24"/>
        </w:rPr>
        <w:t xml:space="preserve">% of </w:t>
      </w:r>
      <w:r w:rsidR="003E12CA" w:rsidRPr="000A55D3">
        <w:rPr>
          <w:rFonts w:asciiTheme="minorBidi" w:hAnsiTheme="minorBidi" w:cstheme="minorBidi"/>
          <w:b w:val="0"/>
          <w:bCs w:val="0"/>
          <w:szCs w:val="24"/>
        </w:rPr>
        <w:t>all</w:t>
      </w:r>
      <w:r w:rsidRPr="000A55D3">
        <w:rPr>
          <w:rFonts w:asciiTheme="minorBidi" w:hAnsiTheme="minorBidi" w:cstheme="minorBidi"/>
          <w:b w:val="0"/>
          <w:bCs w:val="0"/>
          <w:szCs w:val="24"/>
        </w:rPr>
        <w:t xml:space="preserve"> university students</w:t>
      </w:r>
      <w:r w:rsidR="003E12CA" w:rsidRPr="000A55D3">
        <w:rPr>
          <w:rFonts w:asciiTheme="minorBidi" w:hAnsiTheme="minorBidi" w:cstheme="minorBidi"/>
          <w:b w:val="0"/>
          <w:bCs w:val="0"/>
          <w:szCs w:val="24"/>
        </w:rPr>
        <w:t>,</w:t>
      </w:r>
      <w:r w:rsidRPr="000A55D3">
        <w:rPr>
          <w:rFonts w:asciiTheme="minorBidi" w:hAnsiTheme="minorBidi" w:cstheme="minorBidi"/>
          <w:b w:val="0"/>
          <w:bCs w:val="0"/>
          <w:szCs w:val="24"/>
        </w:rPr>
        <w:t xml:space="preserve"> and </w:t>
      </w:r>
      <w:r w:rsidR="003E12CA" w:rsidRPr="000A55D3">
        <w:rPr>
          <w:rFonts w:asciiTheme="minorBidi" w:hAnsiTheme="minorBidi" w:cstheme="minorBidi"/>
          <w:b w:val="0"/>
          <w:bCs w:val="0"/>
          <w:szCs w:val="24"/>
        </w:rPr>
        <w:t>2</w:t>
      </w:r>
      <w:r w:rsidRPr="000A55D3">
        <w:rPr>
          <w:rFonts w:asciiTheme="minorBidi" w:hAnsiTheme="minorBidi" w:cstheme="minorBidi"/>
          <w:b w:val="0"/>
          <w:bCs w:val="0"/>
          <w:szCs w:val="24"/>
        </w:rPr>
        <w:t>.</w:t>
      </w:r>
      <w:r w:rsidR="003E12CA" w:rsidRPr="000A55D3">
        <w:rPr>
          <w:rFonts w:asciiTheme="minorBidi" w:hAnsiTheme="minorBidi" w:cstheme="minorBidi"/>
          <w:b w:val="0"/>
          <w:bCs w:val="0"/>
          <w:szCs w:val="24"/>
        </w:rPr>
        <w:t>2</w:t>
      </w:r>
      <w:r w:rsidRPr="000A55D3">
        <w:rPr>
          <w:rFonts w:asciiTheme="minorBidi" w:hAnsiTheme="minorBidi" w:cstheme="minorBidi"/>
          <w:b w:val="0"/>
          <w:bCs w:val="0"/>
          <w:szCs w:val="24"/>
        </w:rPr>
        <w:t xml:space="preserve">% </w:t>
      </w:r>
      <w:r w:rsidR="003E12CA" w:rsidRPr="000A55D3">
        <w:rPr>
          <w:rFonts w:asciiTheme="minorBidi" w:hAnsiTheme="minorBidi" w:cstheme="minorBidi"/>
          <w:b w:val="0"/>
          <w:bCs w:val="0"/>
          <w:szCs w:val="24"/>
        </w:rPr>
        <w:t xml:space="preserve">of the students </w:t>
      </w:r>
      <w:r w:rsidRPr="000A55D3">
        <w:rPr>
          <w:rFonts w:asciiTheme="minorBidi" w:hAnsiTheme="minorBidi" w:cstheme="minorBidi"/>
          <w:b w:val="0"/>
          <w:bCs w:val="0"/>
          <w:szCs w:val="24"/>
        </w:rPr>
        <w:t xml:space="preserve">at </w:t>
      </w:r>
      <w:r w:rsidR="00AB43F2" w:rsidRPr="000A55D3">
        <w:rPr>
          <w:rFonts w:asciiTheme="minorBidi" w:hAnsiTheme="minorBidi" w:cstheme="minorBidi"/>
          <w:b w:val="0"/>
          <w:bCs w:val="0"/>
          <w:szCs w:val="24"/>
        </w:rPr>
        <w:t xml:space="preserve">the </w:t>
      </w:r>
      <w:r w:rsidRPr="000A55D3">
        <w:rPr>
          <w:rFonts w:asciiTheme="minorBidi" w:hAnsiTheme="minorBidi" w:cstheme="minorBidi"/>
          <w:b w:val="0"/>
          <w:bCs w:val="0"/>
          <w:szCs w:val="24"/>
        </w:rPr>
        <w:t xml:space="preserve">academic colleges </w:t>
      </w:r>
      <w:r w:rsidR="003E12CA" w:rsidRPr="000A55D3">
        <w:rPr>
          <w:rFonts w:asciiTheme="minorBidi" w:hAnsiTheme="minorBidi" w:cstheme="minorBidi"/>
          <w:b w:val="0"/>
          <w:bCs w:val="0"/>
          <w:szCs w:val="24"/>
        </w:rPr>
        <w:t>(2.</w:t>
      </w:r>
      <w:r w:rsidR="002A3A3A">
        <w:rPr>
          <w:rFonts w:asciiTheme="minorBidi" w:hAnsiTheme="minorBidi" w:cstheme="minorBidi"/>
          <w:b w:val="0"/>
          <w:bCs w:val="0"/>
          <w:szCs w:val="24"/>
        </w:rPr>
        <w:t>3</w:t>
      </w:r>
      <w:r w:rsidR="003E12CA" w:rsidRPr="000A55D3">
        <w:rPr>
          <w:rFonts w:asciiTheme="minorBidi" w:hAnsiTheme="minorBidi" w:cstheme="minorBidi"/>
          <w:b w:val="0"/>
          <w:bCs w:val="0"/>
          <w:szCs w:val="24"/>
        </w:rPr>
        <w:t xml:space="preserve">% at </w:t>
      </w:r>
      <w:r w:rsidR="00AF65AE">
        <w:rPr>
          <w:rFonts w:asciiTheme="minorBidi" w:hAnsiTheme="minorBidi" w:cstheme="minorBidi"/>
          <w:b w:val="0"/>
          <w:bCs w:val="0"/>
          <w:szCs w:val="24"/>
        </w:rPr>
        <w:t>budgeted</w:t>
      </w:r>
      <w:r w:rsidR="003E12CA" w:rsidRPr="000A55D3">
        <w:rPr>
          <w:rFonts w:asciiTheme="minorBidi" w:hAnsiTheme="minorBidi" w:cstheme="minorBidi"/>
          <w:b w:val="0"/>
          <w:bCs w:val="0"/>
          <w:szCs w:val="24"/>
        </w:rPr>
        <w:t xml:space="preserve"> colleges, and </w:t>
      </w:r>
      <w:r w:rsidR="002A3A3A">
        <w:rPr>
          <w:rFonts w:asciiTheme="minorBidi" w:hAnsiTheme="minorBidi" w:cstheme="minorBidi"/>
          <w:b w:val="0"/>
          <w:bCs w:val="0"/>
          <w:szCs w:val="24"/>
        </w:rPr>
        <w:t>2</w:t>
      </w:r>
      <w:r w:rsidR="003E12CA" w:rsidRPr="000A55D3">
        <w:rPr>
          <w:rFonts w:asciiTheme="minorBidi" w:hAnsiTheme="minorBidi" w:cstheme="minorBidi"/>
          <w:b w:val="0"/>
          <w:bCs w:val="0"/>
          <w:szCs w:val="24"/>
        </w:rPr>
        <w:t>.</w:t>
      </w:r>
      <w:r w:rsidR="002A3A3A">
        <w:rPr>
          <w:rFonts w:asciiTheme="minorBidi" w:hAnsiTheme="minorBidi" w:cstheme="minorBidi"/>
          <w:b w:val="0"/>
          <w:bCs w:val="0"/>
          <w:szCs w:val="24"/>
        </w:rPr>
        <w:t>1</w:t>
      </w:r>
      <w:r w:rsidR="003E12CA" w:rsidRPr="000A55D3">
        <w:rPr>
          <w:rFonts w:asciiTheme="minorBidi" w:hAnsiTheme="minorBidi" w:cstheme="minorBidi"/>
          <w:b w:val="0"/>
          <w:bCs w:val="0"/>
          <w:szCs w:val="24"/>
        </w:rPr>
        <w:t>% at non-</w:t>
      </w:r>
      <w:r w:rsidR="00AF65AE">
        <w:rPr>
          <w:rFonts w:asciiTheme="minorBidi" w:hAnsiTheme="minorBidi" w:cstheme="minorBidi"/>
          <w:b w:val="0"/>
          <w:bCs w:val="0"/>
          <w:szCs w:val="24"/>
        </w:rPr>
        <w:t>budgeted</w:t>
      </w:r>
      <w:r w:rsidR="003E12CA" w:rsidRPr="000A55D3">
        <w:rPr>
          <w:rFonts w:asciiTheme="minorBidi" w:hAnsiTheme="minorBidi" w:cstheme="minorBidi"/>
          <w:b w:val="0"/>
          <w:bCs w:val="0"/>
          <w:szCs w:val="24"/>
        </w:rPr>
        <w:t xml:space="preserve"> colleges), and 1.</w:t>
      </w:r>
      <w:r w:rsidR="002A3A3A">
        <w:rPr>
          <w:rFonts w:asciiTheme="minorBidi" w:hAnsiTheme="minorBidi" w:cstheme="minorBidi"/>
          <w:b w:val="0"/>
          <w:bCs w:val="0"/>
          <w:szCs w:val="24"/>
        </w:rPr>
        <w:t>7</w:t>
      </w:r>
      <w:r w:rsidR="003E12CA" w:rsidRPr="000A55D3">
        <w:rPr>
          <w:rFonts w:asciiTheme="minorBidi" w:hAnsiTheme="minorBidi" w:cstheme="minorBidi"/>
          <w:b w:val="0"/>
          <w:bCs w:val="0"/>
          <w:szCs w:val="24"/>
        </w:rPr>
        <w:t>% of all students at academic colleges of education.</w:t>
      </w:r>
    </w:p>
    <w:p w14:paraId="1F723495" w14:textId="50E1BE77" w:rsidR="00A85E14" w:rsidRPr="008E3D20" w:rsidRDefault="00A85E14" w:rsidP="00E06F71">
      <w:pPr>
        <w:bidi w:val="0"/>
        <w:spacing w:before="120" w:line="360" w:lineRule="auto"/>
        <w:rPr>
          <w:rFonts w:asciiTheme="minorBidi" w:hAnsiTheme="minorBidi" w:cstheme="minorBidi"/>
          <w:b w:val="0"/>
          <w:bCs w:val="0"/>
          <w:szCs w:val="24"/>
        </w:rPr>
      </w:pPr>
      <w:r w:rsidRPr="00A85E14">
        <w:rPr>
          <w:rFonts w:asciiTheme="minorBidi" w:hAnsiTheme="minorBidi" w:cstheme="minorBidi"/>
          <w:b w:val="0"/>
          <w:bCs w:val="0"/>
          <w:szCs w:val="24"/>
        </w:rPr>
        <w:t xml:space="preserve">Compared with Arab-Moslem students, the percentage of </w:t>
      </w:r>
      <w:r w:rsidR="00E06F71" w:rsidRPr="00A85E14">
        <w:rPr>
          <w:rFonts w:asciiTheme="minorBidi" w:hAnsiTheme="minorBidi" w:cstheme="minorBidi"/>
          <w:b w:val="0"/>
          <w:bCs w:val="0"/>
          <w:szCs w:val="24"/>
        </w:rPr>
        <w:t xml:space="preserve">Arab </w:t>
      </w:r>
      <w:r w:rsidRPr="00A85E14">
        <w:rPr>
          <w:rFonts w:asciiTheme="minorBidi" w:hAnsiTheme="minorBidi" w:cstheme="minorBidi"/>
          <w:b w:val="0"/>
          <w:bCs w:val="0"/>
          <w:szCs w:val="24"/>
        </w:rPr>
        <w:t>Christian students studying for a first degree was lower in the following fields of study:</w:t>
      </w:r>
      <w:r w:rsidRPr="00A85E14">
        <w:rPr>
          <w:rStyle w:val="FootnoteReference"/>
          <w:rFonts w:asciiTheme="minorBidi" w:hAnsiTheme="minorBidi"/>
          <w:b w:val="0"/>
          <w:bCs w:val="0"/>
        </w:rPr>
        <w:footnoteReference w:id="11"/>
      </w:r>
      <w:r w:rsidRPr="00A85E14">
        <w:rPr>
          <w:rFonts w:asciiTheme="minorBidi" w:hAnsiTheme="minorBidi" w:cstheme="minorBidi"/>
          <w:b w:val="0"/>
          <w:bCs w:val="0"/>
          <w:szCs w:val="24"/>
        </w:rPr>
        <w:t xml:space="preserve"> Business and management sciences, Languages, literature and regional studies, as well as Paramedical studies. In contrast, the percentage of those who studied Engineering and architecture, Art, crafts and applied arts, as well as Medicine was higher.</w:t>
      </w:r>
    </w:p>
    <w:p w14:paraId="6E9C71C1" w14:textId="77777777" w:rsidR="00E06F71" w:rsidRDefault="00E06F71">
      <w:pPr>
        <w:bidi w:val="0"/>
        <w:rPr>
          <w:rFonts w:asciiTheme="minorBidi" w:hAnsiTheme="minorBidi" w:cstheme="minorBidi"/>
          <w:szCs w:val="24"/>
        </w:rPr>
      </w:pPr>
      <w:r>
        <w:rPr>
          <w:rFonts w:asciiTheme="minorBidi" w:hAnsiTheme="minorBidi" w:cstheme="minorBidi"/>
          <w:szCs w:val="24"/>
        </w:rPr>
        <w:br w:type="page"/>
      </w:r>
    </w:p>
    <w:p w14:paraId="61591A17" w14:textId="1FAC702F" w:rsidR="00AB43F2" w:rsidRDefault="00AD59AD" w:rsidP="009A03ED">
      <w:pPr>
        <w:keepNext/>
        <w:bidi w:val="0"/>
        <w:spacing w:after="120" w:line="360" w:lineRule="auto"/>
        <w:jc w:val="center"/>
        <w:rPr>
          <w:rFonts w:asciiTheme="minorBidi" w:hAnsiTheme="minorBidi" w:cstheme="minorBidi"/>
          <w:szCs w:val="24"/>
        </w:rPr>
      </w:pPr>
      <w:r w:rsidRPr="00F90826">
        <w:rPr>
          <w:rFonts w:asciiTheme="minorBidi" w:hAnsiTheme="minorBidi" w:cstheme="minorBidi"/>
          <w:szCs w:val="24"/>
        </w:rPr>
        <w:t xml:space="preserve">Table </w:t>
      </w:r>
      <w:r w:rsidR="002A3A3A" w:rsidRPr="00F90826">
        <w:rPr>
          <w:rFonts w:asciiTheme="minorBidi" w:hAnsiTheme="minorBidi" w:cstheme="minorBidi"/>
          <w:szCs w:val="24"/>
        </w:rPr>
        <w:t>D</w:t>
      </w:r>
      <w:r w:rsidR="009A5B5D" w:rsidRPr="00F90826">
        <w:rPr>
          <w:rFonts w:asciiTheme="minorBidi" w:hAnsiTheme="minorBidi" w:cstheme="minorBidi"/>
          <w:szCs w:val="24"/>
        </w:rPr>
        <w:t xml:space="preserve"> -</w:t>
      </w:r>
      <w:r w:rsidRPr="00F90826">
        <w:rPr>
          <w:rFonts w:asciiTheme="minorBidi" w:hAnsiTheme="minorBidi" w:cstheme="minorBidi"/>
          <w:szCs w:val="24"/>
        </w:rPr>
        <w:t xml:space="preserve"> </w:t>
      </w:r>
      <w:r w:rsidR="00AB43F2" w:rsidRPr="00F90826">
        <w:rPr>
          <w:rFonts w:asciiTheme="minorBidi" w:hAnsiTheme="minorBidi" w:cstheme="minorBidi"/>
          <w:szCs w:val="24"/>
        </w:rPr>
        <w:t>Distribution of Christian Arab Students</w:t>
      </w:r>
      <w:r w:rsidR="00D02426" w:rsidRPr="00F90826">
        <w:rPr>
          <w:rFonts w:asciiTheme="minorBidi" w:hAnsiTheme="minorBidi" w:cstheme="minorBidi"/>
          <w:szCs w:val="24"/>
        </w:rPr>
        <w:t xml:space="preserve"> Studying for Their First Degree</w:t>
      </w:r>
      <w:r w:rsidR="003E12CA" w:rsidRPr="00F90826">
        <w:rPr>
          <w:rFonts w:asciiTheme="minorBidi" w:hAnsiTheme="minorBidi" w:cstheme="minorBidi"/>
          <w:szCs w:val="24"/>
        </w:rPr>
        <w:t>,</w:t>
      </w:r>
      <w:r w:rsidR="00AB43F2" w:rsidRPr="00F90826">
        <w:rPr>
          <w:rFonts w:asciiTheme="minorBidi" w:hAnsiTheme="minorBidi" w:cstheme="minorBidi"/>
          <w:szCs w:val="24"/>
        </w:rPr>
        <w:t xml:space="preserve"> by Field of Study </w:t>
      </w:r>
      <w:r w:rsidR="003E12CA" w:rsidRPr="00F90826">
        <w:rPr>
          <w:rFonts w:asciiTheme="minorBidi" w:hAnsiTheme="minorBidi" w:cstheme="minorBidi"/>
          <w:szCs w:val="24"/>
        </w:rPr>
        <w:t xml:space="preserve">and </w:t>
      </w:r>
      <w:r w:rsidR="00E06F71">
        <w:rPr>
          <w:rFonts w:asciiTheme="minorBidi" w:hAnsiTheme="minorBidi" w:cstheme="minorBidi"/>
          <w:szCs w:val="24"/>
        </w:rPr>
        <w:t xml:space="preserve">Selected Religion and </w:t>
      </w:r>
      <w:r w:rsidR="003E12CA" w:rsidRPr="00F90826">
        <w:rPr>
          <w:rFonts w:asciiTheme="minorBidi" w:hAnsiTheme="minorBidi" w:cstheme="minorBidi"/>
          <w:szCs w:val="24"/>
        </w:rPr>
        <w:t>Population Group</w:t>
      </w:r>
      <w:r w:rsidR="00E06F71">
        <w:rPr>
          <w:rFonts w:asciiTheme="minorBidi" w:hAnsiTheme="minorBidi" w:cstheme="minorBidi"/>
          <w:szCs w:val="24"/>
        </w:rPr>
        <w:t>s</w:t>
      </w:r>
      <w:r w:rsidR="003E12CA" w:rsidRPr="00F90826">
        <w:rPr>
          <w:rFonts w:asciiTheme="minorBidi" w:hAnsiTheme="minorBidi" w:cstheme="minorBidi"/>
          <w:szCs w:val="24"/>
        </w:rPr>
        <w:t xml:space="preserve"> (</w:t>
      </w:r>
      <w:r w:rsidR="0055141C" w:rsidRPr="00F90826">
        <w:rPr>
          <w:rFonts w:asciiTheme="minorBidi" w:hAnsiTheme="minorBidi" w:cstheme="minorBidi"/>
          <w:szCs w:val="24"/>
        </w:rPr>
        <w:t>20</w:t>
      </w:r>
      <w:r w:rsidR="002A3A3A" w:rsidRPr="00F90826">
        <w:rPr>
          <w:rFonts w:asciiTheme="minorBidi" w:hAnsiTheme="minorBidi" w:cstheme="minorBidi"/>
          <w:szCs w:val="24"/>
        </w:rPr>
        <w:t>20</w:t>
      </w:r>
      <w:r w:rsidR="0055141C" w:rsidRPr="00F90826">
        <w:rPr>
          <w:rFonts w:asciiTheme="minorBidi" w:hAnsiTheme="minorBidi" w:cstheme="minorBidi"/>
          <w:szCs w:val="24"/>
        </w:rPr>
        <w:t>/2</w:t>
      </w:r>
      <w:r w:rsidR="002A3A3A" w:rsidRPr="00F90826">
        <w:rPr>
          <w:rFonts w:asciiTheme="minorBidi" w:hAnsiTheme="minorBidi" w:cstheme="minorBidi"/>
          <w:szCs w:val="24"/>
        </w:rPr>
        <w:t>1</w:t>
      </w:r>
      <w:r w:rsidR="003E12CA" w:rsidRPr="00F90826">
        <w:rPr>
          <w:rFonts w:asciiTheme="minorBidi" w:hAnsiTheme="minorBidi" w:cstheme="minorBidi"/>
          <w:szCs w:val="24"/>
        </w:rPr>
        <w:t>)</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D - Distribution of Christian Arab Students Studying for Their First Degree, by Field of Study and Selected Religion and Population Groups (2020/21)"/>
        <w:tblDescription w:val="Table D - Distribution of Christian Arab Students Studying for Their First Degree, by Field of Study and Selected Religion and Population Groups (2020/21)"/>
      </w:tblPr>
      <w:tblGrid>
        <w:gridCol w:w="4292"/>
        <w:gridCol w:w="1260"/>
        <w:gridCol w:w="1440"/>
        <w:gridCol w:w="1620"/>
        <w:gridCol w:w="1499"/>
      </w:tblGrid>
      <w:tr w:rsidR="00C43FB2" w:rsidRPr="002A3A3A" w14:paraId="60DA6B02" w14:textId="77777777" w:rsidTr="00E06F71">
        <w:trPr>
          <w:trHeight w:val="569"/>
          <w:tblHeader/>
          <w:jc w:val="center"/>
        </w:trPr>
        <w:tc>
          <w:tcPr>
            <w:tcW w:w="4292" w:type="dxa"/>
            <w:tcBorders>
              <w:bottom w:val="single" w:sz="4" w:space="0" w:color="auto"/>
            </w:tcBorders>
            <w:shd w:val="clear" w:color="auto" w:fill="FFFFFF"/>
            <w:vAlign w:val="center"/>
          </w:tcPr>
          <w:p w14:paraId="324AC324" w14:textId="77777777" w:rsidR="00C43FB2" w:rsidRPr="00F90826" w:rsidRDefault="00040AB7" w:rsidP="00E06F71">
            <w:pPr>
              <w:bidi w:val="0"/>
              <w:spacing w:before="80" w:after="80"/>
              <w:jc w:val="center"/>
              <w:rPr>
                <w:rFonts w:asciiTheme="minorBidi" w:hAnsiTheme="minorBidi" w:cstheme="minorBidi"/>
                <w:b w:val="0"/>
                <w:bCs w:val="0"/>
                <w:szCs w:val="24"/>
              </w:rPr>
            </w:pPr>
            <w:r w:rsidRPr="00F90826">
              <w:rPr>
                <w:rFonts w:asciiTheme="minorBidi" w:hAnsiTheme="minorBidi" w:cstheme="minorBidi"/>
                <w:szCs w:val="24"/>
              </w:rPr>
              <w:t>Field of Study/Population Group</w:t>
            </w:r>
          </w:p>
        </w:tc>
        <w:tc>
          <w:tcPr>
            <w:tcW w:w="1260" w:type="dxa"/>
            <w:tcBorders>
              <w:bottom w:val="single" w:sz="4" w:space="0" w:color="auto"/>
            </w:tcBorders>
            <w:shd w:val="clear" w:color="auto" w:fill="FFFFFF"/>
            <w:vAlign w:val="center"/>
          </w:tcPr>
          <w:p w14:paraId="792D0D4C" w14:textId="77777777" w:rsidR="00C43FB2" w:rsidRPr="00F90826" w:rsidRDefault="00040AB7" w:rsidP="00E06F71">
            <w:pPr>
              <w:bidi w:val="0"/>
              <w:spacing w:before="80" w:after="80"/>
              <w:jc w:val="center"/>
              <w:rPr>
                <w:rFonts w:asciiTheme="minorBidi" w:hAnsiTheme="minorBidi" w:cstheme="minorBidi"/>
                <w:b w:val="0"/>
                <w:bCs w:val="0"/>
                <w:szCs w:val="24"/>
              </w:rPr>
            </w:pPr>
            <w:r w:rsidRPr="00F90826">
              <w:rPr>
                <w:rFonts w:asciiTheme="minorBidi" w:hAnsiTheme="minorBidi" w:cstheme="minorBidi"/>
                <w:szCs w:val="24"/>
              </w:rPr>
              <w:t>Total</w:t>
            </w:r>
          </w:p>
        </w:tc>
        <w:tc>
          <w:tcPr>
            <w:tcW w:w="1440" w:type="dxa"/>
            <w:tcBorders>
              <w:bottom w:val="single" w:sz="4" w:space="0" w:color="auto"/>
            </w:tcBorders>
            <w:shd w:val="clear" w:color="auto" w:fill="FFFFFF"/>
            <w:vAlign w:val="center"/>
          </w:tcPr>
          <w:p w14:paraId="506418EA" w14:textId="77777777" w:rsidR="00C43FB2" w:rsidRPr="00F90826" w:rsidRDefault="00040AB7" w:rsidP="00E06F71">
            <w:pPr>
              <w:bidi w:val="0"/>
              <w:spacing w:before="80" w:after="80"/>
              <w:jc w:val="center"/>
              <w:rPr>
                <w:rFonts w:asciiTheme="minorBidi" w:hAnsiTheme="minorBidi" w:cstheme="minorBidi"/>
                <w:b w:val="0"/>
                <w:bCs w:val="0"/>
                <w:szCs w:val="24"/>
              </w:rPr>
            </w:pPr>
            <w:r w:rsidRPr="00F90826">
              <w:rPr>
                <w:rFonts w:asciiTheme="minorBidi" w:hAnsiTheme="minorBidi" w:cstheme="minorBidi"/>
                <w:szCs w:val="24"/>
              </w:rPr>
              <w:t>Total Christians</w:t>
            </w:r>
          </w:p>
        </w:tc>
        <w:tc>
          <w:tcPr>
            <w:tcW w:w="1620" w:type="dxa"/>
            <w:tcBorders>
              <w:bottom w:val="single" w:sz="4" w:space="0" w:color="auto"/>
            </w:tcBorders>
            <w:shd w:val="clear" w:color="auto" w:fill="FFFFFF"/>
            <w:vAlign w:val="center"/>
          </w:tcPr>
          <w:p w14:paraId="2B1CB009" w14:textId="32FFAE60" w:rsidR="00C43FB2" w:rsidRPr="00F90826" w:rsidRDefault="00AF65AE" w:rsidP="00E06F71">
            <w:pPr>
              <w:bidi w:val="0"/>
              <w:spacing w:before="80" w:after="80"/>
              <w:jc w:val="center"/>
              <w:rPr>
                <w:rFonts w:asciiTheme="minorBidi" w:hAnsiTheme="minorBidi" w:cstheme="minorBidi"/>
                <w:b w:val="0"/>
                <w:bCs w:val="0"/>
                <w:szCs w:val="24"/>
                <w:rtl/>
              </w:rPr>
            </w:pPr>
            <w:r w:rsidRPr="00F90826">
              <w:rPr>
                <w:rFonts w:asciiTheme="minorBidi" w:hAnsiTheme="minorBidi" w:cstheme="minorBidi"/>
                <w:szCs w:val="24"/>
              </w:rPr>
              <w:t>Thereof</w:t>
            </w:r>
            <w:r w:rsidR="00220E5D" w:rsidRPr="00F90826">
              <w:rPr>
                <w:rFonts w:asciiTheme="minorBidi" w:hAnsiTheme="minorBidi" w:cstheme="minorBidi"/>
                <w:szCs w:val="24"/>
              </w:rPr>
              <w:t>:</w:t>
            </w:r>
            <w:r w:rsidRPr="00F90826">
              <w:rPr>
                <w:rFonts w:asciiTheme="minorBidi" w:hAnsiTheme="minorBidi" w:cstheme="minorBidi"/>
                <w:szCs w:val="24"/>
              </w:rPr>
              <w:t xml:space="preserve"> </w:t>
            </w:r>
            <w:r w:rsidR="00040AB7" w:rsidRPr="00F90826">
              <w:rPr>
                <w:rFonts w:asciiTheme="minorBidi" w:hAnsiTheme="minorBidi" w:cstheme="minorBidi"/>
                <w:szCs w:val="24"/>
              </w:rPr>
              <w:t>Arab Christians</w:t>
            </w:r>
          </w:p>
        </w:tc>
        <w:tc>
          <w:tcPr>
            <w:tcW w:w="1499" w:type="dxa"/>
            <w:tcBorders>
              <w:bottom w:val="single" w:sz="4" w:space="0" w:color="auto"/>
            </w:tcBorders>
            <w:shd w:val="clear" w:color="auto" w:fill="FFFFFF"/>
            <w:vAlign w:val="center"/>
          </w:tcPr>
          <w:p w14:paraId="069A19BF" w14:textId="5D2278C5" w:rsidR="00C43FB2" w:rsidRPr="00F90826" w:rsidRDefault="00040AB7" w:rsidP="00E06F71">
            <w:pPr>
              <w:bidi w:val="0"/>
              <w:spacing w:before="80" w:after="80"/>
              <w:jc w:val="center"/>
              <w:rPr>
                <w:rFonts w:asciiTheme="minorBidi" w:hAnsiTheme="minorBidi" w:cstheme="minorBidi"/>
                <w:b w:val="0"/>
                <w:bCs w:val="0"/>
                <w:szCs w:val="24"/>
                <w:rtl/>
              </w:rPr>
            </w:pPr>
            <w:r w:rsidRPr="00F90826">
              <w:rPr>
                <w:rFonts w:asciiTheme="minorBidi" w:hAnsiTheme="minorBidi" w:cstheme="minorBidi"/>
                <w:szCs w:val="24"/>
              </w:rPr>
              <w:t>Arab Moslems</w:t>
            </w:r>
          </w:p>
        </w:tc>
      </w:tr>
      <w:tr w:rsidR="00F90826" w:rsidRPr="002A3A3A" w14:paraId="58C34350" w14:textId="77777777" w:rsidTr="00E06F71">
        <w:trPr>
          <w:trHeight w:val="113"/>
          <w:jc w:val="center"/>
        </w:trPr>
        <w:tc>
          <w:tcPr>
            <w:tcW w:w="4292" w:type="dxa"/>
            <w:tcBorders>
              <w:bottom w:val="nil"/>
            </w:tcBorders>
            <w:shd w:val="clear" w:color="auto" w:fill="FFFFFF"/>
            <w:vAlign w:val="center"/>
          </w:tcPr>
          <w:p w14:paraId="36481587"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szCs w:val="24"/>
              </w:rPr>
              <w:t>Total (absolute numbers)</w:t>
            </w:r>
          </w:p>
        </w:tc>
        <w:tc>
          <w:tcPr>
            <w:tcW w:w="1260" w:type="dxa"/>
            <w:tcBorders>
              <w:bottom w:val="nil"/>
            </w:tcBorders>
            <w:shd w:val="clear" w:color="auto" w:fill="FFFFFF"/>
            <w:vAlign w:val="center"/>
          </w:tcPr>
          <w:p w14:paraId="066EA1CE" w14:textId="42689263" w:rsidR="00F90826" w:rsidRPr="00F90826" w:rsidRDefault="00F90826" w:rsidP="00E06F71">
            <w:pPr>
              <w:tabs>
                <w:tab w:val="decimal" w:pos="612"/>
              </w:tabs>
              <w:bidi w:val="0"/>
              <w:spacing w:before="80" w:after="80"/>
              <w:jc w:val="center"/>
              <w:rPr>
                <w:rFonts w:asciiTheme="minorBidi" w:hAnsiTheme="minorBidi" w:cstheme="minorBidi"/>
                <w:b w:val="0"/>
                <w:bCs w:val="0"/>
                <w:szCs w:val="24"/>
                <w:highlight w:val="yellow"/>
              </w:rPr>
            </w:pPr>
            <w:r w:rsidRPr="00F90826">
              <w:rPr>
                <w:rFonts w:asciiTheme="minorBidi" w:hAnsiTheme="minorBidi" w:cstheme="minorBidi"/>
                <w:b w:val="0"/>
                <w:bCs w:val="0"/>
                <w:szCs w:val="24"/>
              </w:rPr>
              <w:t>211,598</w:t>
            </w:r>
          </w:p>
        </w:tc>
        <w:tc>
          <w:tcPr>
            <w:tcW w:w="1440" w:type="dxa"/>
            <w:tcBorders>
              <w:bottom w:val="nil"/>
            </w:tcBorders>
            <w:shd w:val="clear" w:color="auto" w:fill="FFFFFF"/>
            <w:vAlign w:val="center"/>
          </w:tcPr>
          <w:p w14:paraId="5D42136E" w14:textId="453C30C1" w:rsidR="00F90826" w:rsidRPr="00F90826" w:rsidRDefault="00F90826" w:rsidP="00E06F71">
            <w:pPr>
              <w:tabs>
                <w:tab w:val="decimal" w:pos="792"/>
              </w:tabs>
              <w:bidi w:val="0"/>
              <w:spacing w:before="80" w:after="80"/>
              <w:jc w:val="center"/>
              <w:rPr>
                <w:rFonts w:asciiTheme="minorBidi" w:hAnsiTheme="minorBidi" w:cstheme="minorBidi"/>
                <w:b w:val="0"/>
                <w:bCs w:val="0"/>
                <w:szCs w:val="24"/>
                <w:highlight w:val="yellow"/>
              </w:rPr>
            </w:pPr>
            <w:r w:rsidRPr="00F90826">
              <w:rPr>
                <w:rFonts w:asciiTheme="minorBidi" w:hAnsiTheme="minorBidi" w:cstheme="minorBidi"/>
                <w:b w:val="0"/>
                <w:bCs w:val="0"/>
                <w:szCs w:val="24"/>
              </w:rPr>
              <w:t>4,956</w:t>
            </w:r>
          </w:p>
        </w:tc>
        <w:tc>
          <w:tcPr>
            <w:tcW w:w="1620" w:type="dxa"/>
            <w:tcBorders>
              <w:bottom w:val="nil"/>
            </w:tcBorders>
            <w:shd w:val="clear" w:color="auto" w:fill="FFFFFF"/>
            <w:vAlign w:val="center"/>
          </w:tcPr>
          <w:p w14:paraId="4AF05A9F" w14:textId="38F1F122" w:rsidR="00F90826" w:rsidRPr="00F90826" w:rsidRDefault="00F90826" w:rsidP="00E06F71">
            <w:pPr>
              <w:tabs>
                <w:tab w:val="decimal" w:pos="882"/>
              </w:tabs>
              <w:bidi w:val="0"/>
              <w:spacing w:before="80" w:after="80"/>
              <w:jc w:val="center"/>
              <w:rPr>
                <w:rFonts w:asciiTheme="minorBidi" w:hAnsiTheme="minorBidi" w:cstheme="minorBidi"/>
                <w:b w:val="0"/>
                <w:bCs w:val="0"/>
                <w:szCs w:val="24"/>
                <w:highlight w:val="yellow"/>
              </w:rPr>
            </w:pPr>
            <w:r w:rsidRPr="00F90826">
              <w:rPr>
                <w:rFonts w:asciiTheme="minorBidi" w:hAnsiTheme="minorBidi" w:cstheme="minorBidi"/>
                <w:b w:val="0"/>
                <w:bCs w:val="0"/>
                <w:szCs w:val="24"/>
              </w:rPr>
              <w:t>4,704</w:t>
            </w:r>
          </w:p>
        </w:tc>
        <w:tc>
          <w:tcPr>
            <w:tcW w:w="1499" w:type="dxa"/>
            <w:tcBorders>
              <w:bottom w:val="nil"/>
            </w:tcBorders>
            <w:shd w:val="clear" w:color="auto" w:fill="FFFFFF"/>
            <w:vAlign w:val="center"/>
          </w:tcPr>
          <w:p w14:paraId="01D162AD" w14:textId="42A24451" w:rsidR="00F90826" w:rsidRPr="00F90826" w:rsidRDefault="00F90826" w:rsidP="00E06F71">
            <w:pPr>
              <w:tabs>
                <w:tab w:val="decimal" w:pos="882"/>
              </w:tabs>
              <w:bidi w:val="0"/>
              <w:spacing w:before="80" w:after="80"/>
              <w:jc w:val="center"/>
              <w:rPr>
                <w:rFonts w:asciiTheme="minorBidi" w:hAnsiTheme="minorBidi" w:cstheme="minorBidi"/>
                <w:b w:val="0"/>
                <w:bCs w:val="0"/>
                <w:szCs w:val="24"/>
                <w:highlight w:val="yellow"/>
              </w:rPr>
            </w:pPr>
            <w:r w:rsidRPr="00F90826">
              <w:rPr>
                <w:rFonts w:asciiTheme="minorBidi" w:hAnsiTheme="minorBidi" w:cstheme="minorBidi"/>
                <w:b w:val="0"/>
                <w:bCs w:val="0"/>
                <w:szCs w:val="24"/>
              </w:rPr>
              <w:t>31,700</w:t>
            </w:r>
          </w:p>
        </w:tc>
      </w:tr>
      <w:tr w:rsidR="00F90826" w:rsidRPr="002A3A3A" w14:paraId="7A48ED0E" w14:textId="77777777" w:rsidTr="00E06F71">
        <w:trPr>
          <w:trHeight w:val="113"/>
          <w:jc w:val="center"/>
        </w:trPr>
        <w:tc>
          <w:tcPr>
            <w:tcW w:w="4292" w:type="dxa"/>
            <w:tcBorders>
              <w:top w:val="nil"/>
              <w:bottom w:val="nil"/>
            </w:tcBorders>
            <w:shd w:val="clear" w:color="auto" w:fill="FFFFFF"/>
            <w:vAlign w:val="center"/>
          </w:tcPr>
          <w:p w14:paraId="55FA444E"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szCs w:val="24"/>
              </w:rPr>
              <w:t>Percentages</w:t>
            </w:r>
          </w:p>
        </w:tc>
        <w:tc>
          <w:tcPr>
            <w:tcW w:w="1260" w:type="dxa"/>
            <w:tcBorders>
              <w:top w:val="nil"/>
              <w:bottom w:val="nil"/>
            </w:tcBorders>
            <w:shd w:val="clear" w:color="auto" w:fill="FFFFFF"/>
            <w:vAlign w:val="center"/>
          </w:tcPr>
          <w:p w14:paraId="7D1B58EC" w14:textId="578E94B2"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100.0</w:t>
            </w:r>
          </w:p>
        </w:tc>
        <w:tc>
          <w:tcPr>
            <w:tcW w:w="1440" w:type="dxa"/>
            <w:tcBorders>
              <w:top w:val="nil"/>
              <w:bottom w:val="nil"/>
            </w:tcBorders>
            <w:shd w:val="clear" w:color="auto" w:fill="FFFFFF"/>
            <w:vAlign w:val="center"/>
          </w:tcPr>
          <w:p w14:paraId="1D2F47DA" w14:textId="46E093BD"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tl/>
              </w:rPr>
              <w:t>100</w:t>
            </w:r>
            <w:r w:rsidRPr="00F90826">
              <w:rPr>
                <w:rFonts w:asciiTheme="minorBidi" w:hAnsiTheme="minorBidi" w:cstheme="minorBidi" w:hint="cs"/>
                <w:b w:val="0"/>
                <w:bCs w:val="0"/>
                <w:szCs w:val="24"/>
                <w:rtl/>
              </w:rPr>
              <w:t>.0</w:t>
            </w:r>
          </w:p>
        </w:tc>
        <w:tc>
          <w:tcPr>
            <w:tcW w:w="1620" w:type="dxa"/>
            <w:tcBorders>
              <w:top w:val="nil"/>
              <w:bottom w:val="nil"/>
            </w:tcBorders>
            <w:shd w:val="clear" w:color="auto" w:fill="FFFFFF"/>
            <w:vAlign w:val="center"/>
          </w:tcPr>
          <w:p w14:paraId="39E44240" w14:textId="3BCA8A9B"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100.0</w:t>
            </w:r>
          </w:p>
        </w:tc>
        <w:tc>
          <w:tcPr>
            <w:tcW w:w="1499" w:type="dxa"/>
            <w:tcBorders>
              <w:top w:val="nil"/>
              <w:bottom w:val="nil"/>
            </w:tcBorders>
            <w:shd w:val="clear" w:color="auto" w:fill="FFFFFF"/>
            <w:vAlign w:val="center"/>
          </w:tcPr>
          <w:p w14:paraId="04CE52BE" w14:textId="034004C6"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100.0</w:t>
            </w:r>
          </w:p>
        </w:tc>
      </w:tr>
      <w:tr w:rsidR="00F90826" w:rsidRPr="002A3A3A" w14:paraId="61848748" w14:textId="77777777" w:rsidTr="00E06F71">
        <w:trPr>
          <w:trHeight w:val="113"/>
          <w:jc w:val="center"/>
        </w:trPr>
        <w:tc>
          <w:tcPr>
            <w:tcW w:w="4292" w:type="dxa"/>
            <w:tcBorders>
              <w:top w:val="nil"/>
              <w:bottom w:val="nil"/>
            </w:tcBorders>
            <w:shd w:val="clear" w:color="auto" w:fill="FFFFFF"/>
          </w:tcPr>
          <w:p w14:paraId="5ABB2E77"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General humanities</w:t>
            </w:r>
          </w:p>
        </w:tc>
        <w:tc>
          <w:tcPr>
            <w:tcW w:w="1260" w:type="dxa"/>
            <w:tcBorders>
              <w:top w:val="nil"/>
              <w:bottom w:val="nil"/>
            </w:tcBorders>
            <w:shd w:val="clear" w:color="auto" w:fill="FFFFFF"/>
            <w:vAlign w:val="center"/>
          </w:tcPr>
          <w:p w14:paraId="59F27926" w14:textId="44B886FC"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2.7</w:t>
            </w:r>
          </w:p>
        </w:tc>
        <w:tc>
          <w:tcPr>
            <w:tcW w:w="1440" w:type="dxa"/>
            <w:tcBorders>
              <w:top w:val="nil"/>
              <w:bottom w:val="nil"/>
            </w:tcBorders>
            <w:shd w:val="clear" w:color="auto" w:fill="FFFFFF"/>
            <w:vAlign w:val="center"/>
          </w:tcPr>
          <w:p w14:paraId="461E928D" w14:textId="33581F9E"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2.1</w:t>
            </w:r>
          </w:p>
        </w:tc>
        <w:tc>
          <w:tcPr>
            <w:tcW w:w="1620" w:type="dxa"/>
            <w:tcBorders>
              <w:top w:val="nil"/>
              <w:bottom w:val="nil"/>
            </w:tcBorders>
            <w:shd w:val="clear" w:color="auto" w:fill="FFFFFF"/>
            <w:vAlign w:val="center"/>
          </w:tcPr>
          <w:p w14:paraId="1DE90CB5" w14:textId="42280050"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1.9</w:t>
            </w:r>
          </w:p>
        </w:tc>
        <w:tc>
          <w:tcPr>
            <w:tcW w:w="1499" w:type="dxa"/>
            <w:tcBorders>
              <w:top w:val="nil"/>
              <w:bottom w:val="nil"/>
            </w:tcBorders>
            <w:shd w:val="clear" w:color="auto" w:fill="FFFFFF"/>
            <w:vAlign w:val="center"/>
          </w:tcPr>
          <w:p w14:paraId="10993B4C" w14:textId="10DA8290"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1.8</w:t>
            </w:r>
          </w:p>
        </w:tc>
      </w:tr>
      <w:tr w:rsidR="00F90826" w:rsidRPr="002A3A3A" w14:paraId="417002DE" w14:textId="77777777" w:rsidTr="00E06F71">
        <w:trPr>
          <w:trHeight w:val="113"/>
          <w:jc w:val="center"/>
        </w:trPr>
        <w:tc>
          <w:tcPr>
            <w:tcW w:w="4292" w:type="dxa"/>
            <w:tcBorders>
              <w:top w:val="nil"/>
              <w:bottom w:val="nil"/>
            </w:tcBorders>
            <w:shd w:val="clear" w:color="auto" w:fill="FFFFFF"/>
          </w:tcPr>
          <w:p w14:paraId="3446C999"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Languages, literature and regional studies</w:t>
            </w:r>
          </w:p>
        </w:tc>
        <w:tc>
          <w:tcPr>
            <w:tcW w:w="1260" w:type="dxa"/>
            <w:tcBorders>
              <w:top w:val="nil"/>
              <w:bottom w:val="nil"/>
            </w:tcBorders>
            <w:shd w:val="clear" w:color="auto" w:fill="FFFFFF"/>
            <w:vAlign w:val="center"/>
          </w:tcPr>
          <w:p w14:paraId="1AB0B067" w14:textId="27E13A8E"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1.4</w:t>
            </w:r>
          </w:p>
        </w:tc>
        <w:tc>
          <w:tcPr>
            <w:tcW w:w="1440" w:type="dxa"/>
            <w:tcBorders>
              <w:top w:val="nil"/>
              <w:bottom w:val="nil"/>
            </w:tcBorders>
            <w:shd w:val="clear" w:color="auto" w:fill="FFFFFF"/>
            <w:vAlign w:val="center"/>
          </w:tcPr>
          <w:p w14:paraId="076C0D47" w14:textId="5F64E6C7"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1.9</w:t>
            </w:r>
          </w:p>
        </w:tc>
        <w:tc>
          <w:tcPr>
            <w:tcW w:w="1620" w:type="dxa"/>
            <w:tcBorders>
              <w:top w:val="nil"/>
              <w:bottom w:val="nil"/>
            </w:tcBorders>
            <w:shd w:val="clear" w:color="auto" w:fill="FFFFFF"/>
            <w:vAlign w:val="center"/>
          </w:tcPr>
          <w:p w14:paraId="57461690" w14:textId="1C80CC2B"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1.8</w:t>
            </w:r>
          </w:p>
        </w:tc>
        <w:tc>
          <w:tcPr>
            <w:tcW w:w="1499" w:type="dxa"/>
            <w:tcBorders>
              <w:top w:val="nil"/>
              <w:bottom w:val="nil"/>
            </w:tcBorders>
            <w:shd w:val="clear" w:color="auto" w:fill="FFFFFF"/>
            <w:vAlign w:val="center"/>
          </w:tcPr>
          <w:p w14:paraId="36DC6DE0" w14:textId="1700E796"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2.1</w:t>
            </w:r>
          </w:p>
        </w:tc>
      </w:tr>
      <w:tr w:rsidR="00F90826" w:rsidRPr="002A3A3A" w14:paraId="5868A7EC" w14:textId="77777777" w:rsidTr="00E06F71">
        <w:trPr>
          <w:trHeight w:val="113"/>
          <w:jc w:val="center"/>
        </w:trPr>
        <w:tc>
          <w:tcPr>
            <w:tcW w:w="4292" w:type="dxa"/>
            <w:tcBorders>
              <w:top w:val="nil"/>
              <w:bottom w:val="nil"/>
            </w:tcBorders>
            <w:shd w:val="clear" w:color="auto" w:fill="FFFFFF"/>
          </w:tcPr>
          <w:p w14:paraId="012AC5FC"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Education and teacher training</w:t>
            </w:r>
          </w:p>
        </w:tc>
        <w:tc>
          <w:tcPr>
            <w:tcW w:w="1260" w:type="dxa"/>
            <w:tcBorders>
              <w:top w:val="nil"/>
              <w:bottom w:val="nil"/>
            </w:tcBorders>
            <w:shd w:val="clear" w:color="auto" w:fill="FFFFFF"/>
            <w:vAlign w:val="center"/>
          </w:tcPr>
          <w:p w14:paraId="60FA0506" w14:textId="625FCD4E"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16.3</w:t>
            </w:r>
          </w:p>
        </w:tc>
        <w:tc>
          <w:tcPr>
            <w:tcW w:w="1440" w:type="dxa"/>
            <w:tcBorders>
              <w:top w:val="nil"/>
              <w:bottom w:val="nil"/>
            </w:tcBorders>
            <w:shd w:val="clear" w:color="auto" w:fill="FFFFFF"/>
            <w:vAlign w:val="center"/>
          </w:tcPr>
          <w:p w14:paraId="729FA506" w14:textId="4D071D30"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10.3</w:t>
            </w:r>
          </w:p>
        </w:tc>
        <w:tc>
          <w:tcPr>
            <w:tcW w:w="1620" w:type="dxa"/>
            <w:tcBorders>
              <w:top w:val="nil"/>
              <w:bottom w:val="nil"/>
            </w:tcBorders>
            <w:shd w:val="clear" w:color="auto" w:fill="FFFFFF"/>
            <w:vAlign w:val="center"/>
          </w:tcPr>
          <w:p w14:paraId="718AC76B" w14:textId="78E25857"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10.6</w:t>
            </w:r>
          </w:p>
        </w:tc>
        <w:tc>
          <w:tcPr>
            <w:tcW w:w="1499" w:type="dxa"/>
            <w:tcBorders>
              <w:top w:val="nil"/>
              <w:bottom w:val="nil"/>
            </w:tcBorders>
            <w:shd w:val="clear" w:color="auto" w:fill="FFFFFF"/>
            <w:vAlign w:val="center"/>
          </w:tcPr>
          <w:p w14:paraId="741157F8" w14:textId="441B45EE"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25.8</w:t>
            </w:r>
          </w:p>
        </w:tc>
      </w:tr>
      <w:tr w:rsidR="00F90826" w:rsidRPr="002A3A3A" w14:paraId="3DC15CCA" w14:textId="77777777" w:rsidTr="00E06F71">
        <w:trPr>
          <w:trHeight w:val="113"/>
          <w:jc w:val="center"/>
        </w:trPr>
        <w:tc>
          <w:tcPr>
            <w:tcW w:w="4292" w:type="dxa"/>
            <w:tcBorders>
              <w:top w:val="nil"/>
              <w:bottom w:val="nil"/>
            </w:tcBorders>
            <w:shd w:val="clear" w:color="auto" w:fill="FFFFFF"/>
          </w:tcPr>
          <w:p w14:paraId="41FEF90D"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Arts, crafts, and applied art</w:t>
            </w:r>
          </w:p>
        </w:tc>
        <w:tc>
          <w:tcPr>
            <w:tcW w:w="1260" w:type="dxa"/>
            <w:tcBorders>
              <w:top w:val="nil"/>
              <w:bottom w:val="nil"/>
            </w:tcBorders>
            <w:shd w:val="clear" w:color="auto" w:fill="FFFFFF"/>
            <w:vAlign w:val="center"/>
          </w:tcPr>
          <w:p w14:paraId="6DA54C46" w14:textId="06773412"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3.7</w:t>
            </w:r>
          </w:p>
        </w:tc>
        <w:tc>
          <w:tcPr>
            <w:tcW w:w="1440" w:type="dxa"/>
            <w:tcBorders>
              <w:top w:val="nil"/>
              <w:bottom w:val="nil"/>
            </w:tcBorders>
            <w:shd w:val="clear" w:color="auto" w:fill="FFFFFF"/>
            <w:vAlign w:val="center"/>
          </w:tcPr>
          <w:p w14:paraId="796C107D" w14:textId="48BE1C70"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4.4</w:t>
            </w:r>
          </w:p>
        </w:tc>
        <w:tc>
          <w:tcPr>
            <w:tcW w:w="1620" w:type="dxa"/>
            <w:tcBorders>
              <w:top w:val="nil"/>
              <w:bottom w:val="nil"/>
            </w:tcBorders>
            <w:shd w:val="clear" w:color="auto" w:fill="FFFFFF"/>
            <w:vAlign w:val="center"/>
          </w:tcPr>
          <w:p w14:paraId="41C17D60" w14:textId="7B7B6CFA"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4.3</w:t>
            </w:r>
          </w:p>
        </w:tc>
        <w:tc>
          <w:tcPr>
            <w:tcW w:w="1499" w:type="dxa"/>
            <w:tcBorders>
              <w:top w:val="nil"/>
              <w:bottom w:val="nil"/>
            </w:tcBorders>
            <w:shd w:val="clear" w:color="auto" w:fill="FFFFFF"/>
            <w:vAlign w:val="center"/>
          </w:tcPr>
          <w:p w14:paraId="36F3B05B" w14:textId="42C1FE24"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2.2</w:t>
            </w:r>
          </w:p>
        </w:tc>
      </w:tr>
      <w:tr w:rsidR="00F90826" w:rsidRPr="002A3A3A" w14:paraId="59422992" w14:textId="77777777" w:rsidTr="00E06F71">
        <w:trPr>
          <w:trHeight w:val="113"/>
          <w:jc w:val="center"/>
        </w:trPr>
        <w:tc>
          <w:tcPr>
            <w:tcW w:w="4292" w:type="dxa"/>
            <w:tcBorders>
              <w:top w:val="nil"/>
              <w:bottom w:val="nil"/>
            </w:tcBorders>
            <w:shd w:val="clear" w:color="auto" w:fill="FFFFFF"/>
          </w:tcPr>
          <w:p w14:paraId="3E118108"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Social sciences</w:t>
            </w:r>
          </w:p>
        </w:tc>
        <w:tc>
          <w:tcPr>
            <w:tcW w:w="1260" w:type="dxa"/>
            <w:tcBorders>
              <w:top w:val="nil"/>
              <w:bottom w:val="nil"/>
            </w:tcBorders>
            <w:shd w:val="clear" w:color="auto" w:fill="FFFFFF"/>
            <w:vAlign w:val="center"/>
          </w:tcPr>
          <w:p w14:paraId="408FECF8" w14:textId="17D6E35F"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17.1</w:t>
            </w:r>
          </w:p>
        </w:tc>
        <w:tc>
          <w:tcPr>
            <w:tcW w:w="1440" w:type="dxa"/>
            <w:tcBorders>
              <w:top w:val="nil"/>
              <w:bottom w:val="nil"/>
            </w:tcBorders>
            <w:shd w:val="clear" w:color="auto" w:fill="FFFFFF"/>
            <w:vAlign w:val="center"/>
          </w:tcPr>
          <w:p w14:paraId="6C82B07F" w14:textId="39846453"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14.6</w:t>
            </w:r>
          </w:p>
        </w:tc>
        <w:tc>
          <w:tcPr>
            <w:tcW w:w="1620" w:type="dxa"/>
            <w:tcBorders>
              <w:top w:val="nil"/>
              <w:bottom w:val="nil"/>
            </w:tcBorders>
            <w:shd w:val="clear" w:color="auto" w:fill="FFFFFF"/>
            <w:vAlign w:val="center"/>
          </w:tcPr>
          <w:p w14:paraId="6CB9E023" w14:textId="212C5971"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14.5</w:t>
            </w:r>
          </w:p>
        </w:tc>
        <w:tc>
          <w:tcPr>
            <w:tcW w:w="1499" w:type="dxa"/>
            <w:tcBorders>
              <w:top w:val="nil"/>
              <w:bottom w:val="nil"/>
            </w:tcBorders>
            <w:shd w:val="clear" w:color="auto" w:fill="FFFFFF"/>
            <w:vAlign w:val="center"/>
          </w:tcPr>
          <w:p w14:paraId="31D87D0D" w14:textId="49C42996"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13.5</w:t>
            </w:r>
          </w:p>
        </w:tc>
      </w:tr>
      <w:tr w:rsidR="00F90826" w:rsidRPr="002A3A3A" w14:paraId="55A72ABE" w14:textId="77777777" w:rsidTr="00E06F71">
        <w:trPr>
          <w:trHeight w:val="113"/>
          <w:jc w:val="center"/>
        </w:trPr>
        <w:tc>
          <w:tcPr>
            <w:tcW w:w="4292" w:type="dxa"/>
            <w:tcBorders>
              <w:top w:val="nil"/>
              <w:bottom w:val="nil"/>
            </w:tcBorders>
            <w:shd w:val="clear" w:color="auto" w:fill="FFFFFF"/>
          </w:tcPr>
          <w:p w14:paraId="5A41BBAD"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Business and management sciences</w:t>
            </w:r>
          </w:p>
        </w:tc>
        <w:tc>
          <w:tcPr>
            <w:tcW w:w="1260" w:type="dxa"/>
            <w:tcBorders>
              <w:top w:val="nil"/>
              <w:bottom w:val="nil"/>
            </w:tcBorders>
            <w:shd w:val="clear" w:color="auto" w:fill="FFFFFF"/>
            <w:vAlign w:val="center"/>
          </w:tcPr>
          <w:p w14:paraId="26C9BC6F" w14:textId="3070EACE"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11.3</w:t>
            </w:r>
          </w:p>
        </w:tc>
        <w:tc>
          <w:tcPr>
            <w:tcW w:w="1440" w:type="dxa"/>
            <w:tcBorders>
              <w:top w:val="nil"/>
              <w:bottom w:val="nil"/>
            </w:tcBorders>
            <w:shd w:val="clear" w:color="auto" w:fill="FFFFFF"/>
            <w:vAlign w:val="center"/>
          </w:tcPr>
          <w:p w14:paraId="244EA6F9" w14:textId="35865BE3"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10.6</w:t>
            </w:r>
          </w:p>
        </w:tc>
        <w:tc>
          <w:tcPr>
            <w:tcW w:w="1620" w:type="dxa"/>
            <w:tcBorders>
              <w:top w:val="nil"/>
              <w:bottom w:val="nil"/>
            </w:tcBorders>
            <w:shd w:val="clear" w:color="auto" w:fill="FFFFFF"/>
            <w:vAlign w:val="center"/>
          </w:tcPr>
          <w:p w14:paraId="78685E38" w14:textId="0FADB739"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10.5</w:t>
            </w:r>
          </w:p>
        </w:tc>
        <w:tc>
          <w:tcPr>
            <w:tcW w:w="1499" w:type="dxa"/>
            <w:tcBorders>
              <w:top w:val="nil"/>
              <w:bottom w:val="nil"/>
            </w:tcBorders>
            <w:shd w:val="clear" w:color="auto" w:fill="FFFFFF"/>
            <w:vAlign w:val="center"/>
          </w:tcPr>
          <w:p w14:paraId="56F37A49" w14:textId="0C090886"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14.6</w:t>
            </w:r>
          </w:p>
        </w:tc>
      </w:tr>
      <w:tr w:rsidR="00F90826" w:rsidRPr="002A3A3A" w14:paraId="2B8BAAE3" w14:textId="77777777" w:rsidTr="00E06F71">
        <w:trPr>
          <w:trHeight w:val="113"/>
          <w:jc w:val="center"/>
        </w:trPr>
        <w:tc>
          <w:tcPr>
            <w:tcW w:w="4292" w:type="dxa"/>
            <w:tcBorders>
              <w:top w:val="nil"/>
              <w:bottom w:val="nil"/>
            </w:tcBorders>
            <w:shd w:val="clear" w:color="auto" w:fill="FFFFFF"/>
          </w:tcPr>
          <w:p w14:paraId="091FAE44" w14:textId="77777777" w:rsidR="00F90826" w:rsidRPr="00F90826" w:rsidRDefault="00F90826" w:rsidP="00E06F71">
            <w:pPr>
              <w:bidi w:val="0"/>
              <w:spacing w:before="80" w:after="80"/>
              <w:rPr>
                <w:rFonts w:asciiTheme="minorBidi" w:hAnsiTheme="minorBidi" w:cstheme="minorBidi"/>
                <w:b w:val="0"/>
                <w:bCs w:val="0"/>
                <w:szCs w:val="24"/>
                <w:rtl/>
              </w:rPr>
            </w:pPr>
            <w:r w:rsidRPr="00F90826">
              <w:rPr>
                <w:rFonts w:asciiTheme="minorBidi" w:hAnsiTheme="minorBidi" w:cstheme="minorBidi"/>
                <w:b w:val="0"/>
                <w:bCs w:val="0"/>
                <w:szCs w:val="24"/>
              </w:rPr>
              <w:t>Law</w:t>
            </w:r>
          </w:p>
        </w:tc>
        <w:tc>
          <w:tcPr>
            <w:tcW w:w="1260" w:type="dxa"/>
            <w:tcBorders>
              <w:top w:val="nil"/>
              <w:bottom w:val="nil"/>
            </w:tcBorders>
            <w:shd w:val="clear" w:color="auto" w:fill="FFFFFF"/>
            <w:vAlign w:val="center"/>
          </w:tcPr>
          <w:p w14:paraId="1F6D281E" w14:textId="6F6F76CC"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6.9</w:t>
            </w:r>
          </w:p>
        </w:tc>
        <w:tc>
          <w:tcPr>
            <w:tcW w:w="1440" w:type="dxa"/>
            <w:tcBorders>
              <w:top w:val="nil"/>
              <w:bottom w:val="nil"/>
            </w:tcBorders>
            <w:shd w:val="clear" w:color="auto" w:fill="FFFFFF"/>
            <w:vAlign w:val="center"/>
          </w:tcPr>
          <w:p w14:paraId="39A8D054" w14:textId="0D18B701"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9.4</w:t>
            </w:r>
          </w:p>
        </w:tc>
        <w:tc>
          <w:tcPr>
            <w:tcW w:w="1620" w:type="dxa"/>
            <w:tcBorders>
              <w:top w:val="nil"/>
              <w:bottom w:val="nil"/>
            </w:tcBorders>
            <w:shd w:val="clear" w:color="auto" w:fill="FFFFFF"/>
            <w:vAlign w:val="center"/>
          </w:tcPr>
          <w:p w14:paraId="1C4D00A8" w14:textId="2FCD0547"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9.5</w:t>
            </w:r>
          </w:p>
        </w:tc>
        <w:tc>
          <w:tcPr>
            <w:tcW w:w="1499" w:type="dxa"/>
            <w:tcBorders>
              <w:top w:val="nil"/>
              <w:bottom w:val="nil"/>
            </w:tcBorders>
            <w:shd w:val="clear" w:color="auto" w:fill="FFFFFF"/>
            <w:vAlign w:val="center"/>
          </w:tcPr>
          <w:p w14:paraId="511EF436" w14:textId="6CC13CA3"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5.4</w:t>
            </w:r>
          </w:p>
        </w:tc>
      </w:tr>
      <w:tr w:rsidR="00F90826" w:rsidRPr="002A3A3A" w14:paraId="38DB5CD9" w14:textId="77777777" w:rsidTr="00E06F71">
        <w:trPr>
          <w:trHeight w:val="113"/>
          <w:jc w:val="center"/>
        </w:trPr>
        <w:tc>
          <w:tcPr>
            <w:tcW w:w="4292" w:type="dxa"/>
            <w:tcBorders>
              <w:top w:val="nil"/>
              <w:bottom w:val="nil"/>
            </w:tcBorders>
            <w:shd w:val="clear" w:color="auto" w:fill="FFFFFF"/>
          </w:tcPr>
          <w:p w14:paraId="28279631"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Medicine</w:t>
            </w:r>
          </w:p>
        </w:tc>
        <w:tc>
          <w:tcPr>
            <w:tcW w:w="1260" w:type="dxa"/>
            <w:tcBorders>
              <w:top w:val="nil"/>
              <w:bottom w:val="nil"/>
            </w:tcBorders>
            <w:shd w:val="clear" w:color="auto" w:fill="FFFFFF"/>
            <w:vAlign w:val="center"/>
          </w:tcPr>
          <w:p w14:paraId="11B99378" w14:textId="43040CC7"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w:t>
            </w:r>
          </w:p>
        </w:tc>
        <w:tc>
          <w:tcPr>
            <w:tcW w:w="1440" w:type="dxa"/>
            <w:tcBorders>
              <w:top w:val="nil"/>
              <w:bottom w:val="nil"/>
            </w:tcBorders>
            <w:shd w:val="clear" w:color="auto" w:fill="FFFFFF"/>
            <w:vAlign w:val="center"/>
          </w:tcPr>
          <w:p w14:paraId="175B28E1" w14:textId="659C6447"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1.5</w:t>
            </w:r>
          </w:p>
        </w:tc>
        <w:tc>
          <w:tcPr>
            <w:tcW w:w="1620" w:type="dxa"/>
            <w:tcBorders>
              <w:top w:val="nil"/>
              <w:bottom w:val="nil"/>
            </w:tcBorders>
            <w:shd w:val="clear" w:color="auto" w:fill="FFFFFF"/>
            <w:vAlign w:val="center"/>
          </w:tcPr>
          <w:p w14:paraId="1F3C01C1" w14:textId="0A5942E7"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tl/>
              </w:rPr>
            </w:pPr>
            <w:r w:rsidRPr="00F90826">
              <w:rPr>
                <w:rFonts w:asciiTheme="minorBidi" w:hAnsiTheme="minorBidi" w:cstheme="minorBidi"/>
                <w:b w:val="0"/>
                <w:bCs w:val="0"/>
                <w:szCs w:val="24"/>
              </w:rPr>
              <w:t>1.4</w:t>
            </w:r>
          </w:p>
        </w:tc>
        <w:tc>
          <w:tcPr>
            <w:tcW w:w="1499" w:type="dxa"/>
            <w:tcBorders>
              <w:top w:val="nil"/>
              <w:bottom w:val="nil"/>
            </w:tcBorders>
            <w:shd w:val="clear" w:color="auto" w:fill="FFFFFF"/>
            <w:vAlign w:val="center"/>
          </w:tcPr>
          <w:p w14:paraId="5C1BFD90" w14:textId="53BA1424"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0.5</w:t>
            </w:r>
          </w:p>
        </w:tc>
      </w:tr>
      <w:tr w:rsidR="00F90826" w:rsidRPr="002A3A3A" w14:paraId="557D26AA" w14:textId="77777777" w:rsidTr="00E06F71">
        <w:trPr>
          <w:trHeight w:val="113"/>
          <w:jc w:val="center"/>
        </w:trPr>
        <w:tc>
          <w:tcPr>
            <w:tcW w:w="4292" w:type="dxa"/>
            <w:tcBorders>
              <w:top w:val="nil"/>
              <w:bottom w:val="nil"/>
            </w:tcBorders>
            <w:shd w:val="clear" w:color="auto" w:fill="FFFFFF"/>
          </w:tcPr>
          <w:p w14:paraId="5285BB03" w14:textId="3569DF7C"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Paramedical studies</w:t>
            </w:r>
          </w:p>
        </w:tc>
        <w:tc>
          <w:tcPr>
            <w:tcW w:w="1260" w:type="dxa"/>
            <w:tcBorders>
              <w:top w:val="nil"/>
              <w:bottom w:val="nil"/>
            </w:tcBorders>
            <w:shd w:val="clear" w:color="auto" w:fill="FFFFFF"/>
            <w:vAlign w:val="center"/>
          </w:tcPr>
          <w:p w14:paraId="6F64352F" w14:textId="5CD38127"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6.7</w:t>
            </w:r>
          </w:p>
        </w:tc>
        <w:tc>
          <w:tcPr>
            <w:tcW w:w="1440" w:type="dxa"/>
            <w:tcBorders>
              <w:top w:val="nil"/>
              <w:bottom w:val="nil"/>
            </w:tcBorders>
            <w:shd w:val="clear" w:color="auto" w:fill="FFFFFF"/>
            <w:vAlign w:val="center"/>
          </w:tcPr>
          <w:p w14:paraId="725936C5" w14:textId="4CC25884"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9.0</w:t>
            </w:r>
          </w:p>
        </w:tc>
        <w:tc>
          <w:tcPr>
            <w:tcW w:w="1620" w:type="dxa"/>
            <w:tcBorders>
              <w:top w:val="nil"/>
              <w:bottom w:val="nil"/>
            </w:tcBorders>
            <w:shd w:val="clear" w:color="auto" w:fill="FFFFFF"/>
            <w:vAlign w:val="center"/>
          </w:tcPr>
          <w:p w14:paraId="63971694" w14:textId="47F872A5"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9.0</w:t>
            </w:r>
          </w:p>
        </w:tc>
        <w:tc>
          <w:tcPr>
            <w:tcW w:w="1499" w:type="dxa"/>
            <w:tcBorders>
              <w:top w:val="nil"/>
              <w:bottom w:val="nil"/>
            </w:tcBorders>
            <w:shd w:val="clear" w:color="auto" w:fill="FFFFFF"/>
            <w:vAlign w:val="center"/>
          </w:tcPr>
          <w:p w14:paraId="364A2513" w14:textId="321E494F"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10.2</w:t>
            </w:r>
          </w:p>
        </w:tc>
      </w:tr>
      <w:tr w:rsidR="00F90826" w:rsidRPr="002A3A3A" w14:paraId="6BF52BE6" w14:textId="77777777" w:rsidTr="00E06F71">
        <w:trPr>
          <w:trHeight w:val="113"/>
          <w:jc w:val="center"/>
        </w:trPr>
        <w:tc>
          <w:tcPr>
            <w:tcW w:w="4292" w:type="dxa"/>
            <w:tcBorders>
              <w:top w:val="nil"/>
              <w:bottom w:val="nil"/>
            </w:tcBorders>
            <w:shd w:val="clear" w:color="auto" w:fill="FFFFFF"/>
          </w:tcPr>
          <w:p w14:paraId="3D411CA7"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Mathematics, Statistics, and Computer sciences</w:t>
            </w:r>
          </w:p>
        </w:tc>
        <w:tc>
          <w:tcPr>
            <w:tcW w:w="1260" w:type="dxa"/>
            <w:tcBorders>
              <w:top w:val="nil"/>
              <w:bottom w:val="nil"/>
            </w:tcBorders>
            <w:shd w:val="clear" w:color="auto" w:fill="FFFFFF"/>
            <w:vAlign w:val="center"/>
          </w:tcPr>
          <w:p w14:paraId="05F504CB" w14:textId="01C44C8B"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9.4</w:t>
            </w:r>
          </w:p>
        </w:tc>
        <w:tc>
          <w:tcPr>
            <w:tcW w:w="1440" w:type="dxa"/>
            <w:tcBorders>
              <w:top w:val="nil"/>
              <w:bottom w:val="nil"/>
            </w:tcBorders>
            <w:shd w:val="clear" w:color="auto" w:fill="FFFFFF"/>
            <w:vAlign w:val="center"/>
          </w:tcPr>
          <w:p w14:paraId="23C59639" w14:textId="38F5EA54"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9.9</w:t>
            </w:r>
          </w:p>
        </w:tc>
        <w:tc>
          <w:tcPr>
            <w:tcW w:w="1620" w:type="dxa"/>
            <w:tcBorders>
              <w:top w:val="nil"/>
              <w:bottom w:val="nil"/>
            </w:tcBorders>
            <w:shd w:val="clear" w:color="auto" w:fill="FFFFFF"/>
            <w:vAlign w:val="center"/>
          </w:tcPr>
          <w:p w14:paraId="6E20BE34" w14:textId="06C7DFE0"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9.9</w:t>
            </w:r>
          </w:p>
        </w:tc>
        <w:tc>
          <w:tcPr>
            <w:tcW w:w="1499" w:type="dxa"/>
            <w:tcBorders>
              <w:top w:val="nil"/>
              <w:bottom w:val="nil"/>
            </w:tcBorders>
            <w:shd w:val="clear" w:color="auto" w:fill="FFFFFF"/>
            <w:vAlign w:val="center"/>
          </w:tcPr>
          <w:p w14:paraId="792DC540" w14:textId="47A9BA8A"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6.7</w:t>
            </w:r>
          </w:p>
        </w:tc>
      </w:tr>
      <w:tr w:rsidR="00F90826" w:rsidRPr="002A3A3A" w14:paraId="48A7DCF4" w14:textId="77777777" w:rsidTr="00E06F71">
        <w:trPr>
          <w:trHeight w:val="113"/>
          <w:jc w:val="center"/>
        </w:trPr>
        <w:tc>
          <w:tcPr>
            <w:tcW w:w="4292" w:type="dxa"/>
            <w:tcBorders>
              <w:top w:val="nil"/>
              <w:bottom w:val="nil"/>
            </w:tcBorders>
            <w:shd w:val="clear" w:color="auto" w:fill="FFFFFF"/>
          </w:tcPr>
          <w:p w14:paraId="37A1F5F0"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Physical sciences</w:t>
            </w:r>
          </w:p>
        </w:tc>
        <w:tc>
          <w:tcPr>
            <w:tcW w:w="1260" w:type="dxa"/>
            <w:tcBorders>
              <w:top w:val="nil"/>
              <w:bottom w:val="nil"/>
            </w:tcBorders>
            <w:shd w:val="clear" w:color="auto" w:fill="FFFFFF"/>
            <w:vAlign w:val="center"/>
          </w:tcPr>
          <w:p w14:paraId="5B64DADE" w14:textId="75CAE06D"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1.3</w:t>
            </w:r>
          </w:p>
        </w:tc>
        <w:tc>
          <w:tcPr>
            <w:tcW w:w="1440" w:type="dxa"/>
            <w:tcBorders>
              <w:top w:val="nil"/>
              <w:bottom w:val="nil"/>
            </w:tcBorders>
            <w:shd w:val="clear" w:color="auto" w:fill="FFFFFF"/>
            <w:vAlign w:val="center"/>
          </w:tcPr>
          <w:p w14:paraId="472D58F4" w14:textId="1502F36D"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0.7</w:t>
            </w:r>
          </w:p>
        </w:tc>
        <w:tc>
          <w:tcPr>
            <w:tcW w:w="1620" w:type="dxa"/>
            <w:tcBorders>
              <w:top w:val="nil"/>
              <w:bottom w:val="nil"/>
            </w:tcBorders>
            <w:shd w:val="clear" w:color="auto" w:fill="FFFFFF"/>
            <w:vAlign w:val="center"/>
          </w:tcPr>
          <w:p w14:paraId="31BA6E78" w14:textId="1EFE0CD7"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0.7</w:t>
            </w:r>
          </w:p>
        </w:tc>
        <w:tc>
          <w:tcPr>
            <w:tcW w:w="1499" w:type="dxa"/>
            <w:tcBorders>
              <w:top w:val="nil"/>
              <w:bottom w:val="nil"/>
            </w:tcBorders>
            <w:shd w:val="clear" w:color="auto" w:fill="FFFFFF"/>
            <w:vAlign w:val="center"/>
          </w:tcPr>
          <w:p w14:paraId="582CC5AA" w14:textId="4B18BEF2"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1.0</w:t>
            </w:r>
          </w:p>
        </w:tc>
      </w:tr>
      <w:tr w:rsidR="00F90826" w:rsidRPr="002A3A3A" w14:paraId="44BFD587" w14:textId="77777777" w:rsidTr="00E06F71">
        <w:trPr>
          <w:trHeight w:val="113"/>
          <w:jc w:val="center"/>
        </w:trPr>
        <w:tc>
          <w:tcPr>
            <w:tcW w:w="4292" w:type="dxa"/>
            <w:tcBorders>
              <w:top w:val="nil"/>
              <w:bottom w:val="nil"/>
            </w:tcBorders>
            <w:shd w:val="clear" w:color="auto" w:fill="FFFFFF"/>
          </w:tcPr>
          <w:p w14:paraId="6AD46071"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Biological sciences and agriculture</w:t>
            </w:r>
          </w:p>
        </w:tc>
        <w:tc>
          <w:tcPr>
            <w:tcW w:w="1260" w:type="dxa"/>
            <w:tcBorders>
              <w:top w:val="nil"/>
              <w:bottom w:val="nil"/>
            </w:tcBorders>
            <w:shd w:val="clear" w:color="auto" w:fill="FFFFFF"/>
            <w:vAlign w:val="center"/>
          </w:tcPr>
          <w:p w14:paraId="7084CD27" w14:textId="3382C691"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3.4</w:t>
            </w:r>
          </w:p>
        </w:tc>
        <w:tc>
          <w:tcPr>
            <w:tcW w:w="1440" w:type="dxa"/>
            <w:tcBorders>
              <w:top w:val="nil"/>
              <w:bottom w:val="nil"/>
            </w:tcBorders>
            <w:shd w:val="clear" w:color="auto" w:fill="FFFFFF"/>
            <w:vAlign w:val="center"/>
          </w:tcPr>
          <w:p w14:paraId="31BF45FB" w14:textId="3EAC6EEF"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3.8</w:t>
            </w:r>
          </w:p>
        </w:tc>
        <w:tc>
          <w:tcPr>
            <w:tcW w:w="1620" w:type="dxa"/>
            <w:tcBorders>
              <w:top w:val="nil"/>
              <w:bottom w:val="nil"/>
            </w:tcBorders>
            <w:shd w:val="clear" w:color="auto" w:fill="FFFFFF"/>
            <w:vAlign w:val="center"/>
          </w:tcPr>
          <w:p w14:paraId="11EC8EEB" w14:textId="00C06D3E"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3.8</w:t>
            </w:r>
          </w:p>
        </w:tc>
        <w:tc>
          <w:tcPr>
            <w:tcW w:w="1499" w:type="dxa"/>
            <w:tcBorders>
              <w:top w:val="nil"/>
              <w:bottom w:val="nil"/>
            </w:tcBorders>
            <w:shd w:val="clear" w:color="auto" w:fill="FFFFFF"/>
            <w:vAlign w:val="center"/>
          </w:tcPr>
          <w:p w14:paraId="3B3393F4" w14:textId="426FDB62"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3.1</w:t>
            </w:r>
          </w:p>
        </w:tc>
      </w:tr>
      <w:tr w:rsidR="00F90826" w:rsidRPr="002A3A3A" w14:paraId="0C09F59A" w14:textId="77777777" w:rsidTr="00E06F71">
        <w:trPr>
          <w:trHeight w:val="113"/>
          <w:jc w:val="center"/>
        </w:trPr>
        <w:tc>
          <w:tcPr>
            <w:tcW w:w="4292" w:type="dxa"/>
            <w:tcBorders>
              <w:top w:val="nil"/>
            </w:tcBorders>
            <w:shd w:val="clear" w:color="auto" w:fill="FFFFFF"/>
          </w:tcPr>
          <w:p w14:paraId="0E6F6660" w14:textId="77777777" w:rsidR="00F90826" w:rsidRPr="00F90826" w:rsidRDefault="00F90826" w:rsidP="00E06F71">
            <w:pPr>
              <w:bidi w:val="0"/>
              <w:spacing w:before="80" w:after="80"/>
              <w:rPr>
                <w:rFonts w:asciiTheme="minorBidi" w:hAnsiTheme="minorBidi" w:cstheme="minorBidi"/>
                <w:b w:val="0"/>
                <w:bCs w:val="0"/>
                <w:szCs w:val="24"/>
              </w:rPr>
            </w:pPr>
            <w:r w:rsidRPr="00F90826">
              <w:rPr>
                <w:rFonts w:asciiTheme="minorBidi" w:hAnsiTheme="minorBidi" w:cstheme="minorBidi"/>
                <w:b w:val="0"/>
                <w:bCs w:val="0"/>
                <w:szCs w:val="24"/>
              </w:rPr>
              <w:t>Engineering and architecture</w:t>
            </w:r>
          </w:p>
        </w:tc>
        <w:tc>
          <w:tcPr>
            <w:tcW w:w="1260" w:type="dxa"/>
            <w:tcBorders>
              <w:top w:val="nil"/>
            </w:tcBorders>
            <w:shd w:val="clear" w:color="auto" w:fill="FFFFFF"/>
            <w:vAlign w:val="center"/>
          </w:tcPr>
          <w:p w14:paraId="62B72B8B" w14:textId="4C81B8CC" w:rsidR="00F90826" w:rsidRPr="00F90826" w:rsidRDefault="00F90826" w:rsidP="00E06F71">
            <w:pPr>
              <w:tabs>
                <w:tab w:val="decimal" w:pos="61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18.8</w:t>
            </w:r>
          </w:p>
        </w:tc>
        <w:tc>
          <w:tcPr>
            <w:tcW w:w="1440" w:type="dxa"/>
            <w:tcBorders>
              <w:top w:val="nil"/>
            </w:tcBorders>
            <w:shd w:val="clear" w:color="auto" w:fill="FFFFFF"/>
            <w:vAlign w:val="center"/>
          </w:tcPr>
          <w:p w14:paraId="280E55F4" w14:textId="4B7FD638" w:rsidR="00F90826" w:rsidRPr="00F90826" w:rsidRDefault="00F90826" w:rsidP="00E06F71">
            <w:pPr>
              <w:tabs>
                <w:tab w:val="decimal" w:pos="79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21.8</w:t>
            </w:r>
          </w:p>
        </w:tc>
        <w:tc>
          <w:tcPr>
            <w:tcW w:w="1620" w:type="dxa"/>
            <w:tcBorders>
              <w:top w:val="nil"/>
            </w:tcBorders>
            <w:shd w:val="clear" w:color="auto" w:fill="FFFFFF"/>
            <w:vAlign w:val="center"/>
          </w:tcPr>
          <w:p w14:paraId="49043F0B" w14:textId="2D1F3146"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22.2</w:t>
            </w:r>
          </w:p>
        </w:tc>
        <w:tc>
          <w:tcPr>
            <w:tcW w:w="1499" w:type="dxa"/>
            <w:tcBorders>
              <w:top w:val="nil"/>
            </w:tcBorders>
            <w:shd w:val="clear" w:color="auto" w:fill="FFFFFF"/>
            <w:vAlign w:val="center"/>
          </w:tcPr>
          <w:p w14:paraId="42F354D3" w14:textId="2AE5BC08" w:rsidR="00F90826" w:rsidRPr="00F90826" w:rsidRDefault="00F90826" w:rsidP="00E06F71">
            <w:pPr>
              <w:tabs>
                <w:tab w:val="decimal" w:pos="882"/>
              </w:tabs>
              <w:bidi w:val="0"/>
              <w:spacing w:before="80" w:after="80"/>
              <w:rPr>
                <w:rFonts w:asciiTheme="minorBidi" w:hAnsiTheme="minorBidi" w:cstheme="minorBidi"/>
                <w:b w:val="0"/>
                <w:bCs w:val="0"/>
                <w:szCs w:val="24"/>
                <w:highlight w:val="yellow"/>
              </w:rPr>
            </w:pPr>
            <w:r w:rsidRPr="00F90826">
              <w:rPr>
                <w:rFonts w:asciiTheme="minorBidi" w:hAnsiTheme="minorBidi" w:cstheme="minorBidi"/>
                <w:b w:val="0"/>
                <w:bCs w:val="0"/>
                <w:szCs w:val="24"/>
              </w:rPr>
              <w:t>13.0</w:t>
            </w:r>
          </w:p>
        </w:tc>
      </w:tr>
    </w:tbl>
    <w:p w14:paraId="29767D08" w14:textId="77777777" w:rsidR="00A85E14" w:rsidRPr="000A55D3" w:rsidRDefault="00A85E14" w:rsidP="00E06F71">
      <w:pPr>
        <w:pStyle w:val="text1"/>
        <w:spacing w:before="360"/>
      </w:pPr>
      <w:r w:rsidRPr="00A85E14">
        <w:rPr>
          <w:b/>
          <w:bCs/>
        </w:rPr>
        <w:t>Of all students who were studying for a first degree,</w:t>
      </w:r>
      <w:r w:rsidRPr="00A85E14">
        <w:t xml:space="preserve"> representation among the Christian students was highest in the following subjects of study:</w:t>
      </w:r>
      <w:r w:rsidRPr="00A85E14">
        <w:rPr>
          <w:rStyle w:val="FootnoteReference"/>
        </w:rPr>
        <w:footnoteReference w:id="12"/>
      </w:r>
      <w:r w:rsidRPr="00A85E14">
        <w:t xml:space="preserve"> musicology (15.1%), management information systems (12.4%), and transportation engineering (11.2%).</w:t>
      </w:r>
    </w:p>
    <w:p w14:paraId="53CA1CEC" w14:textId="77777777" w:rsidR="00DB0968" w:rsidRDefault="00DB0968">
      <w:pPr>
        <w:bidi w:val="0"/>
        <w:rPr>
          <w:rFonts w:ascii="Arial" w:hAnsi="Arial" w:cs="Arial"/>
          <w:szCs w:val="24"/>
        </w:rPr>
      </w:pPr>
      <w:r>
        <w:br w:type="page"/>
      </w:r>
    </w:p>
    <w:p w14:paraId="36079D7D" w14:textId="5B2FCCA1" w:rsidR="00922A68" w:rsidRDefault="00922A68" w:rsidP="00DB5F03">
      <w:pPr>
        <w:pStyle w:val="diagramheading"/>
      </w:pPr>
      <w:r w:rsidRPr="00533734">
        <w:t xml:space="preserve">Diagram </w:t>
      </w:r>
      <w:r w:rsidR="002A3A3A" w:rsidRPr="00533734">
        <w:t>8</w:t>
      </w:r>
      <w:r w:rsidR="009A5B5D" w:rsidRPr="00533734">
        <w:t xml:space="preserve"> -</w:t>
      </w:r>
      <w:r w:rsidRPr="00533734">
        <w:t xml:space="preserve"> </w:t>
      </w:r>
      <w:r w:rsidR="00AF65AE" w:rsidRPr="00533734">
        <w:t xml:space="preserve">Subjects </w:t>
      </w:r>
      <w:r w:rsidRPr="00533734">
        <w:t xml:space="preserve">of Study That Had a Higher Percentage of Christian Students (Percentage of Christians </w:t>
      </w:r>
      <w:r w:rsidR="00C342D8" w:rsidRPr="00533734">
        <w:t>Out of</w:t>
      </w:r>
      <w:r w:rsidRPr="00533734">
        <w:t xml:space="preserve"> the Total Number of Students in Each </w:t>
      </w:r>
      <w:r w:rsidR="00AF65AE" w:rsidRPr="00533734">
        <w:t>Subject</w:t>
      </w:r>
      <w:r w:rsidRPr="00533734">
        <w:t>), 20</w:t>
      </w:r>
      <w:r w:rsidR="00DB5F03" w:rsidRPr="00533734">
        <w:t>20</w:t>
      </w:r>
      <w:r w:rsidRPr="00533734">
        <w:t>/2</w:t>
      </w:r>
      <w:r w:rsidR="00DB5F03" w:rsidRPr="00533734">
        <w:t>1</w:t>
      </w:r>
    </w:p>
    <w:p w14:paraId="5D319C26" w14:textId="2F8DC1F7" w:rsidR="00EA44CA" w:rsidRDefault="00533734" w:rsidP="00EA44CA">
      <w:pPr>
        <w:pStyle w:val="center"/>
      </w:pPr>
      <w:r>
        <w:drawing>
          <wp:inline distT="0" distB="0" distL="0" distR="0" wp14:anchorId="38A44325" wp14:editId="3F4E08A6">
            <wp:extent cx="6854190" cy="3496588"/>
            <wp:effectExtent l="0" t="0" r="3810" b="8890"/>
            <wp:docPr id="24" name="Picture 24" descr="Diagram 8 - Subjects of Study That Had a Higher Percentage of Christian Students (Percentage of Christians Out of the Total Number of Students in Each Subject), 2020/21" title="Diagram 8 - Subjects of Study That Had a Higher Percentage of Christian Students (Percentage of Christians Out of the Total Number of Students in Each Subject), 20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4737" cy="3496867"/>
                    </a:xfrm>
                    <a:prstGeom prst="rect">
                      <a:avLst/>
                    </a:prstGeom>
                    <a:noFill/>
                  </pic:spPr>
                </pic:pic>
              </a:graphicData>
            </a:graphic>
          </wp:inline>
        </w:drawing>
      </w:r>
    </w:p>
    <w:p w14:paraId="5340528B" w14:textId="77777777" w:rsidR="003C4D54" w:rsidRPr="000A55D3" w:rsidRDefault="00E25857" w:rsidP="00040EF9">
      <w:pPr>
        <w:pStyle w:val="text1"/>
        <w:rPr>
          <w:b/>
          <w:bCs/>
        </w:rPr>
      </w:pPr>
      <w:r w:rsidRPr="000A55D3">
        <w:t xml:space="preserve">The </w:t>
      </w:r>
      <w:r w:rsidR="00040EF9">
        <w:t>share</w:t>
      </w:r>
      <w:r w:rsidRPr="000A55D3">
        <w:t xml:space="preserve"> of w</w:t>
      </w:r>
      <w:r w:rsidR="00341A01" w:rsidRPr="000A55D3">
        <w:t xml:space="preserve">omen </w:t>
      </w:r>
      <w:r w:rsidRPr="000A55D3">
        <w:t>among</w:t>
      </w:r>
      <w:r w:rsidR="00341A01" w:rsidRPr="000A55D3">
        <w:t xml:space="preserve"> </w:t>
      </w:r>
      <w:r w:rsidR="00B87EBC">
        <w:t xml:space="preserve">the </w:t>
      </w:r>
      <w:r w:rsidR="00341A01" w:rsidRPr="000A55D3">
        <w:t xml:space="preserve">Christian </w:t>
      </w:r>
      <w:r w:rsidRPr="000A55D3">
        <w:t xml:space="preserve">students was higher than </w:t>
      </w:r>
      <w:r w:rsidR="00A47A34">
        <w:t xml:space="preserve">it was </w:t>
      </w:r>
      <w:r w:rsidRPr="000A55D3">
        <w:t xml:space="preserve">among </w:t>
      </w:r>
      <w:r w:rsidR="00B87EBC">
        <w:t>the total number of</w:t>
      </w:r>
      <w:r w:rsidRPr="000A55D3">
        <w:t xml:space="preserve"> students, for all degrees and particularly</w:t>
      </w:r>
      <w:r w:rsidR="00341A01" w:rsidRPr="000A55D3">
        <w:t xml:space="preserve"> </w:t>
      </w:r>
      <w:r w:rsidR="002C082F" w:rsidRPr="000A55D3">
        <w:t xml:space="preserve">among those studying </w:t>
      </w:r>
      <w:r w:rsidRPr="000A55D3">
        <w:t xml:space="preserve">for </w:t>
      </w:r>
      <w:r w:rsidR="00A47A34">
        <w:t>advanced</w:t>
      </w:r>
      <w:r w:rsidRPr="000A55D3">
        <w:t xml:space="preserve"> degrees.</w:t>
      </w:r>
    </w:p>
    <w:p w14:paraId="65AB782F" w14:textId="5C8B3B2C" w:rsidR="00040962" w:rsidRPr="005D4348" w:rsidRDefault="002C082F" w:rsidP="005D4348">
      <w:pPr>
        <w:keepNext/>
        <w:bidi w:val="0"/>
        <w:spacing w:line="360" w:lineRule="auto"/>
        <w:jc w:val="center"/>
        <w:rPr>
          <w:rFonts w:ascii="Arial" w:hAnsi="Arial" w:cs="Arial"/>
          <w:szCs w:val="24"/>
        </w:rPr>
      </w:pPr>
      <w:r w:rsidRPr="005D4348">
        <w:rPr>
          <w:rFonts w:ascii="Arial" w:hAnsi="Arial" w:cs="Arial"/>
          <w:szCs w:val="24"/>
        </w:rPr>
        <w:t xml:space="preserve">Table </w:t>
      </w:r>
      <w:r w:rsidR="002A3A3A" w:rsidRPr="005D4348">
        <w:rPr>
          <w:rFonts w:ascii="Arial" w:hAnsi="Arial" w:cs="Arial"/>
          <w:szCs w:val="24"/>
        </w:rPr>
        <w:t>E</w:t>
      </w:r>
      <w:r w:rsidR="009A5B5D" w:rsidRPr="005D4348">
        <w:rPr>
          <w:rFonts w:ascii="Arial" w:hAnsi="Arial" w:cs="Arial"/>
          <w:szCs w:val="24"/>
        </w:rPr>
        <w:t xml:space="preserve"> -</w:t>
      </w:r>
      <w:r w:rsidRPr="005D4348">
        <w:rPr>
          <w:rFonts w:ascii="Arial" w:hAnsi="Arial" w:cs="Arial"/>
          <w:szCs w:val="24"/>
        </w:rPr>
        <w:t xml:space="preserve"> Percentage of </w:t>
      </w:r>
      <w:r w:rsidR="00040962" w:rsidRPr="005D4348">
        <w:rPr>
          <w:rFonts w:ascii="Arial" w:hAnsi="Arial" w:cs="Arial"/>
          <w:szCs w:val="24"/>
        </w:rPr>
        <w:t>W</w:t>
      </w:r>
      <w:r w:rsidRPr="005D4348">
        <w:rPr>
          <w:rFonts w:ascii="Arial" w:hAnsi="Arial" w:cs="Arial"/>
          <w:szCs w:val="24"/>
        </w:rPr>
        <w:t>omen</w:t>
      </w:r>
      <w:r w:rsidR="00040962" w:rsidRPr="005D4348">
        <w:rPr>
          <w:rFonts w:ascii="Arial" w:hAnsi="Arial" w:cs="Arial"/>
          <w:szCs w:val="24"/>
        </w:rPr>
        <w:t xml:space="preserve"> </w:t>
      </w:r>
      <w:r w:rsidR="002F3391" w:rsidRPr="005D4348">
        <w:rPr>
          <w:rFonts w:ascii="Arial" w:hAnsi="Arial" w:cs="Arial"/>
          <w:szCs w:val="24"/>
        </w:rPr>
        <w:t>among</w:t>
      </w:r>
      <w:r w:rsidR="00040962" w:rsidRPr="005D4348">
        <w:rPr>
          <w:rFonts w:ascii="Arial" w:hAnsi="Arial" w:cs="Arial"/>
          <w:szCs w:val="24"/>
        </w:rPr>
        <w:t xml:space="preserve"> </w:t>
      </w:r>
      <w:r w:rsidR="00BA02D8" w:rsidRPr="005D4348">
        <w:rPr>
          <w:rFonts w:ascii="Arial" w:hAnsi="Arial" w:cs="Arial"/>
          <w:szCs w:val="24"/>
        </w:rPr>
        <w:t xml:space="preserve">the </w:t>
      </w:r>
      <w:r w:rsidR="00040962" w:rsidRPr="005D4348">
        <w:rPr>
          <w:rFonts w:ascii="Arial" w:hAnsi="Arial" w:cs="Arial"/>
          <w:szCs w:val="24"/>
        </w:rPr>
        <w:t xml:space="preserve">Christian Students and Among </w:t>
      </w:r>
      <w:r w:rsidR="00BA02D8" w:rsidRPr="005D4348">
        <w:rPr>
          <w:rFonts w:ascii="Arial" w:hAnsi="Arial" w:cs="Arial"/>
          <w:szCs w:val="24"/>
        </w:rPr>
        <w:t>the Total Number of</w:t>
      </w:r>
      <w:r w:rsidR="00040962" w:rsidRPr="005D4348">
        <w:rPr>
          <w:rFonts w:ascii="Arial" w:hAnsi="Arial" w:cs="Arial"/>
          <w:szCs w:val="24"/>
        </w:rPr>
        <w:t xml:space="preserve"> Students, By Degree </w:t>
      </w:r>
      <w:r w:rsidR="00BA02D8" w:rsidRPr="005D4348">
        <w:rPr>
          <w:rFonts w:ascii="Arial" w:hAnsi="Arial" w:cs="Arial"/>
          <w:szCs w:val="24"/>
        </w:rPr>
        <w:t>(20</w:t>
      </w:r>
      <w:r w:rsidR="006B1D17" w:rsidRPr="005D4348">
        <w:rPr>
          <w:rFonts w:ascii="Arial" w:hAnsi="Arial" w:cs="Arial"/>
          <w:szCs w:val="24"/>
        </w:rPr>
        <w:t>20</w:t>
      </w:r>
      <w:r w:rsidR="00BA02D8" w:rsidRPr="005D4348">
        <w:rPr>
          <w:rFonts w:ascii="Arial" w:hAnsi="Arial" w:cs="Arial"/>
          <w:szCs w:val="24"/>
        </w:rPr>
        <w:t>/2</w:t>
      </w:r>
      <w:r w:rsidR="006B1D17" w:rsidRPr="005D4348">
        <w:rPr>
          <w:rFonts w:ascii="Arial" w:hAnsi="Arial" w:cs="Arial"/>
          <w:szCs w:val="24"/>
        </w:rPr>
        <w:t>1</w:t>
      </w:r>
      <w:r w:rsidR="00BA02D8" w:rsidRPr="005D4348">
        <w:rPr>
          <w:rFonts w:ascii="Arial" w:hAnsi="Arial" w:cs="Arial"/>
          <w:szCs w:val="24"/>
        </w:rPr>
        <w:t>)</w:t>
      </w:r>
    </w:p>
    <w:tbl>
      <w:tblPr>
        <w:tblW w:w="6135" w:type="dxa"/>
        <w:jc w:val="center"/>
        <w:tblLook w:val="04A0" w:firstRow="1" w:lastRow="0" w:firstColumn="1" w:lastColumn="0" w:noHBand="0" w:noVBand="1"/>
        <w:tblCaption w:val="Table E - Percentage of Women among the Christian Students and Among the Total Number of Students, By Degree (2020/21)"/>
        <w:tblDescription w:val="Table E - Percentage of Women among the Christian Students and Among the Total Number of Students, By Degree (2020/21)"/>
      </w:tblPr>
      <w:tblGrid>
        <w:gridCol w:w="3507"/>
        <w:gridCol w:w="1314"/>
        <w:gridCol w:w="1314"/>
      </w:tblGrid>
      <w:tr w:rsidR="00040962" w:rsidRPr="006B1D17" w14:paraId="573D580A" w14:textId="77777777" w:rsidTr="003E145D">
        <w:trPr>
          <w:trHeight w:val="679"/>
          <w:tblHeader/>
          <w:jc w:val="center"/>
        </w:trPr>
        <w:tc>
          <w:tcPr>
            <w:tcW w:w="350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2E8D2B" w14:textId="77777777" w:rsidR="00040962" w:rsidRPr="005D4348" w:rsidRDefault="00040962" w:rsidP="00655795">
            <w:pPr>
              <w:keepNext/>
              <w:bidi w:val="0"/>
              <w:spacing w:before="80" w:after="80"/>
              <w:jc w:val="center"/>
              <w:rPr>
                <w:rFonts w:ascii="Arial" w:hAnsi="Arial" w:cs="Arial"/>
                <w:b w:val="0"/>
                <w:bCs w:val="0"/>
                <w:szCs w:val="24"/>
                <w:lang w:eastAsia="en-US"/>
              </w:rPr>
            </w:pPr>
            <w:r w:rsidRPr="005D4348">
              <w:rPr>
                <w:rFonts w:ascii="Arial" w:hAnsi="Arial" w:cs="Arial"/>
                <w:szCs w:val="24"/>
                <w:lang w:eastAsia="en-US"/>
              </w:rPr>
              <w:t>Degree</w:t>
            </w:r>
          </w:p>
        </w:tc>
        <w:tc>
          <w:tcPr>
            <w:tcW w:w="131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AEAB29D" w14:textId="77777777" w:rsidR="00040962" w:rsidRPr="005D4348" w:rsidRDefault="00040962" w:rsidP="00655795">
            <w:pPr>
              <w:keepNext/>
              <w:bidi w:val="0"/>
              <w:spacing w:before="80" w:after="80"/>
              <w:jc w:val="center"/>
              <w:rPr>
                <w:rFonts w:ascii="Arial" w:hAnsi="Arial" w:cs="Arial"/>
                <w:b w:val="0"/>
                <w:bCs w:val="0"/>
                <w:szCs w:val="24"/>
                <w:lang w:eastAsia="en-US"/>
              </w:rPr>
            </w:pPr>
            <w:r w:rsidRPr="005D4348">
              <w:rPr>
                <w:rFonts w:ascii="Arial" w:hAnsi="Arial" w:cs="Arial"/>
                <w:szCs w:val="24"/>
                <w:lang w:eastAsia="en-US"/>
              </w:rPr>
              <w:t>Among Christian students</w:t>
            </w:r>
          </w:p>
        </w:tc>
        <w:tc>
          <w:tcPr>
            <w:tcW w:w="131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8D324F2" w14:textId="77777777" w:rsidR="00040962" w:rsidRPr="005D4348" w:rsidRDefault="00040962" w:rsidP="00655795">
            <w:pPr>
              <w:keepNext/>
              <w:bidi w:val="0"/>
              <w:spacing w:before="80" w:after="80"/>
              <w:jc w:val="center"/>
              <w:rPr>
                <w:rFonts w:ascii="Arial" w:hAnsi="Arial" w:cs="Arial"/>
                <w:b w:val="0"/>
                <w:bCs w:val="0"/>
                <w:szCs w:val="24"/>
                <w:lang w:eastAsia="en-US"/>
              </w:rPr>
            </w:pPr>
            <w:r w:rsidRPr="005D4348">
              <w:rPr>
                <w:rFonts w:ascii="Arial" w:hAnsi="Arial" w:cs="Arial"/>
                <w:szCs w:val="24"/>
                <w:lang w:eastAsia="en-US"/>
              </w:rPr>
              <w:t>Among all students</w:t>
            </w:r>
          </w:p>
        </w:tc>
      </w:tr>
      <w:tr w:rsidR="005D4348" w:rsidRPr="006B1D17" w14:paraId="6A951A39" w14:textId="77777777" w:rsidTr="003E145D">
        <w:trPr>
          <w:trHeight w:val="415"/>
          <w:jc w:val="center"/>
        </w:trPr>
        <w:tc>
          <w:tcPr>
            <w:tcW w:w="3507" w:type="dxa"/>
            <w:tcBorders>
              <w:top w:val="single" w:sz="8" w:space="0" w:color="auto"/>
              <w:left w:val="single" w:sz="8" w:space="0" w:color="auto"/>
              <w:right w:val="nil"/>
            </w:tcBorders>
            <w:shd w:val="clear" w:color="auto" w:fill="auto"/>
            <w:noWrap/>
            <w:vAlign w:val="center"/>
            <w:hideMark/>
          </w:tcPr>
          <w:p w14:paraId="676768D9" w14:textId="77777777" w:rsidR="005D4348" w:rsidRPr="005D4348" w:rsidRDefault="005D4348" w:rsidP="005D4348">
            <w:pPr>
              <w:keepNext/>
              <w:bidi w:val="0"/>
              <w:spacing w:before="80" w:after="80"/>
              <w:rPr>
                <w:rFonts w:ascii="Arial" w:hAnsi="Arial" w:cs="Arial"/>
                <w:b w:val="0"/>
                <w:bCs w:val="0"/>
                <w:szCs w:val="24"/>
                <w:lang w:eastAsia="en-US"/>
              </w:rPr>
            </w:pPr>
            <w:r w:rsidRPr="005D4348">
              <w:rPr>
                <w:rFonts w:ascii="Arial" w:hAnsi="Arial" w:cs="Arial"/>
                <w:szCs w:val="24"/>
                <w:lang w:eastAsia="en-US"/>
              </w:rPr>
              <w:t>Total (including diplomas</w:t>
            </w:r>
            <w:r w:rsidRPr="005D4348">
              <w:rPr>
                <w:rFonts w:ascii="Arial" w:hAnsi="Arial" w:cs="Arial"/>
                <w:b w:val="0"/>
                <w:bCs w:val="0"/>
                <w:szCs w:val="24"/>
                <w:lang w:eastAsia="en-US"/>
              </w:rPr>
              <w:t>)</w:t>
            </w:r>
          </w:p>
        </w:tc>
        <w:tc>
          <w:tcPr>
            <w:tcW w:w="1314" w:type="dxa"/>
            <w:tcBorders>
              <w:top w:val="single" w:sz="8" w:space="0" w:color="auto"/>
              <w:left w:val="single" w:sz="8" w:space="0" w:color="auto"/>
              <w:right w:val="nil"/>
            </w:tcBorders>
            <w:shd w:val="clear" w:color="auto" w:fill="auto"/>
            <w:noWrap/>
            <w:vAlign w:val="center"/>
            <w:hideMark/>
          </w:tcPr>
          <w:p w14:paraId="052E3848" w14:textId="0527A2CD" w:rsidR="005D4348" w:rsidRPr="005D4348" w:rsidRDefault="005D4348" w:rsidP="005D4348">
            <w:pPr>
              <w:keepNext/>
              <w:tabs>
                <w:tab w:val="decimal" w:pos="614"/>
              </w:tabs>
              <w:bidi w:val="0"/>
              <w:spacing w:before="80" w:after="80"/>
              <w:rPr>
                <w:rFonts w:ascii="Arial" w:hAnsi="Arial" w:cs="Arial"/>
                <w:szCs w:val="24"/>
                <w:highlight w:val="yellow"/>
                <w:lang w:eastAsia="en-US"/>
              </w:rPr>
            </w:pPr>
            <w:r w:rsidRPr="005D4348">
              <w:rPr>
                <w:rFonts w:ascii="Arial" w:hAnsi="Arial" w:cs="Arial"/>
                <w:szCs w:val="24"/>
              </w:rPr>
              <w:t>61.8</w:t>
            </w:r>
          </w:p>
        </w:tc>
        <w:tc>
          <w:tcPr>
            <w:tcW w:w="1314" w:type="dxa"/>
            <w:tcBorders>
              <w:top w:val="single" w:sz="8" w:space="0" w:color="auto"/>
              <w:left w:val="single" w:sz="8" w:space="0" w:color="auto"/>
              <w:right w:val="single" w:sz="4" w:space="0" w:color="auto"/>
            </w:tcBorders>
            <w:shd w:val="clear" w:color="auto" w:fill="auto"/>
            <w:noWrap/>
            <w:vAlign w:val="center"/>
            <w:hideMark/>
          </w:tcPr>
          <w:p w14:paraId="5931E7C3" w14:textId="08BD942A" w:rsidR="005D4348" w:rsidRPr="005D4348" w:rsidRDefault="005D4348" w:rsidP="005D4348">
            <w:pPr>
              <w:keepNext/>
              <w:tabs>
                <w:tab w:val="decimal" w:pos="560"/>
              </w:tabs>
              <w:bidi w:val="0"/>
              <w:spacing w:before="80" w:after="80"/>
              <w:rPr>
                <w:rFonts w:ascii="Arial" w:hAnsi="Arial" w:cs="Arial"/>
                <w:szCs w:val="24"/>
                <w:highlight w:val="yellow"/>
                <w:lang w:eastAsia="en-US"/>
              </w:rPr>
            </w:pPr>
            <w:r w:rsidRPr="005D4348">
              <w:rPr>
                <w:rFonts w:ascii="Arial" w:hAnsi="Arial" w:cs="Arial"/>
                <w:szCs w:val="24"/>
              </w:rPr>
              <w:t>59.8</w:t>
            </w:r>
          </w:p>
        </w:tc>
      </w:tr>
      <w:tr w:rsidR="005D4348" w:rsidRPr="006B1D17" w14:paraId="502EB315" w14:textId="77777777" w:rsidTr="003E145D">
        <w:trPr>
          <w:trHeight w:val="427"/>
          <w:jc w:val="center"/>
        </w:trPr>
        <w:tc>
          <w:tcPr>
            <w:tcW w:w="3507" w:type="dxa"/>
            <w:tcBorders>
              <w:left w:val="single" w:sz="8" w:space="0" w:color="auto"/>
              <w:right w:val="nil"/>
            </w:tcBorders>
            <w:shd w:val="clear" w:color="auto" w:fill="auto"/>
            <w:noWrap/>
            <w:vAlign w:val="center"/>
            <w:hideMark/>
          </w:tcPr>
          <w:p w14:paraId="751BFC9B" w14:textId="77777777" w:rsidR="005D4348" w:rsidRPr="005D4348" w:rsidRDefault="005D4348" w:rsidP="005D4348">
            <w:pPr>
              <w:keepNext/>
              <w:bidi w:val="0"/>
              <w:spacing w:before="80" w:after="80"/>
              <w:rPr>
                <w:rFonts w:ascii="Arial" w:hAnsi="Arial" w:cs="Arial"/>
                <w:b w:val="0"/>
                <w:bCs w:val="0"/>
                <w:szCs w:val="24"/>
                <w:lang w:eastAsia="en-US"/>
              </w:rPr>
            </w:pPr>
            <w:r w:rsidRPr="005D4348">
              <w:rPr>
                <w:rFonts w:ascii="Arial" w:hAnsi="Arial" w:cs="Arial"/>
                <w:b w:val="0"/>
                <w:bCs w:val="0"/>
                <w:szCs w:val="24"/>
                <w:lang w:eastAsia="en-US"/>
              </w:rPr>
              <w:t>First degree</w:t>
            </w:r>
          </w:p>
        </w:tc>
        <w:tc>
          <w:tcPr>
            <w:tcW w:w="1314" w:type="dxa"/>
            <w:tcBorders>
              <w:left w:val="single" w:sz="8" w:space="0" w:color="auto"/>
              <w:right w:val="nil"/>
            </w:tcBorders>
            <w:shd w:val="clear" w:color="auto" w:fill="auto"/>
            <w:noWrap/>
            <w:vAlign w:val="center"/>
            <w:hideMark/>
          </w:tcPr>
          <w:p w14:paraId="4DB6C8D5" w14:textId="18634F05" w:rsidR="005D4348" w:rsidRPr="005D4348" w:rsidRDefault="005D4348" w:rsidP="005D4348">
            <w:pPr>
              <w:keepNext/>
              <w:tabs>
                <w:tab w:val="decimal" w:pos="614"/>
              </w:tabs>
              <w:bidi w:val="0"/>
              <w:spacing w:before="80" w:after="80"/>
              <w:rPr>
                <w:rFonts w:ascii="Arial" w:hAnsi="Arial" w:cs="Arial"/>
                <w:b w:val="0"/>
                <w:bCs w:val="0"/>
                <w:szCs w:val="24"/>
                <w:highlight w:val="yellow"/>
                <w:lang w:eastAsia="en-US"/>
              </w:rPr>
            </w:pPr>
            <w:r w:rsidRPr="005D4348">
              <w:rPr>
                <w:rFonts w:ascii="Arial" w:hAnsi="Arial" w:cs="Arial"/>
                <w:b w:val="0"/>
                <w:bCs w:val="0"/>
                <w:szCs w:val="24"/>
              </w:rPr>
              <w:t>57.5</w:t>
            </w:r>
          </w:p>
        </w:tc>
        <w:tc>
          <w:tcPr>
            <w:tcW w:w="1314" w:type="dxa"/>
            <w:tcBorders>
              <w:left w:val="single" w:sz="8" w:space="0" w:color="auto"/>
              <w:right w:val="single" w:sz="4" w:space="0" w:color="auto"/>
            </w:tcBorders>
            <w:shd w:val="clear" w:color="auto" w:fill="auto"/>
            <w:noWrap/>
            <w:vAlign w:val="center"/>
            <w:hideMark/>
          </w:tcPr>
          <w:p w14:paraId="78437D66" w14:textId="7F56D531" w:rsidR="005D4348" w:rsidRPr="005D4348" w:rsidRDefault="005D4348" w:rsidP="005D4348">
            <w:pPr>
              <w:keepNext/>
              <w:tabs>
                <w:tab w:val="decimal" w:pos="560"/>
              </w:tabs>
              <w:bidi w:val="0"/>
              <w:spacing w:before="80" w:after="80"/>
              <w:rPr>
                <w:rFonts w:ascii="Arial" w:hAnsi="Arial" w:cs="Arial"/>
                <w:b w:val="0"/>
                <w:bCs w:val="0"/>
                <w:szCs w:val="24"/>
                <w:highlight w:val="yellow"/>
                <w:lang w:eastAsia="en-US"/>
              </w:rPr>
            </w:pPr>
            <w:r w:rsidRPr="005D4348">
              <w:rPr>
                <w:rFonts w:ascii="Arial" w:hAnsi="Arial" w:cs="Arial"/>
                <w:b w:val="0"/>
                <w:bCs w:val="0"/>
                <w:szCs w:val="24"/>
              </w:rPr>
              <w:t>58.3</w:t>
            </w:r>
          </w:p>
        </w:tc>
      </w:tr>
      <w:tr w:rsidR="005D4348" w:rsidRPr="006B1D17" w14:paraId="48EE460B" w14:textId="77777777" w:rsidTr="003E145D">
        <w:trPr>
          <w:trHeight w:val="419"/>
          <w:jc w:val="center"/>
        </w:trPr>
        <w:tc>
          <w:tcPr>
            <w:tcW w:w="3507" w:type="dxa"/>
            <w:tcBorders>
              <w:left w:val="single" w:sz="8" w:space="0" w:color="auto"/>
              <w:right w:val="nil"/>
            </w:tcBorders>
            <w:shd w:val="clear" w:color="auto" w:fill="auto"/>
            <w:noWrap/>
            <w:vAlign w:val="center"/>
            <w:hideMark/>
          </w:tcPr>
          <w:p w14:paraId="2A98FE61" w14:textId="77777777" w:rsidR="005D4348" w:rsidRPr="005D4348" w:rsidRDefault="005D4348" w:rsidP="005D4348">
            <w:pPr>
              <w:bidi w:val="0"/>
              <w:spacing w:before="80" w:after="80"/>
              <w:rPr>
                <w:rFonts w:ascii="Arial" w:hAnsi="Arial" w:cs="Arial"/>
                <w:b w:val="0"/>
                <w:bCs w:val="0"/>
                <w:szCs w:val="24"/>
                <w:lang w:eastAsia="en-US"/>
              </w:rPr>
            </w:pPr>
            <w:r w:rsidRPr="005D4348">
              <w:rPr>
                <w:rFonts w:ascii="Arial" w:hAnsi="Arial" w:cs="Arial"/>
                <w:b w:val="0"/>
                <w:bCs w:val="0"/>
                <w:szCs w:val="24"/>
                <w:lang w:eastAsia="en-US"/>
              </w:rPr>
              <w:t>Second degree</w:t>
            </w:r>
          </w:p>
        </w:tc>
        <w:tc>
          <w:tcPr>
            <w:tcW w:w="1314" w:type="dxa"/>
            <w:tcBorders>
              <w:left w:val="single" w:sz="8" w:space="0" w:color="auto"/>
              <w:right w:val="nil"/>
            </w:tcBorders>
            <w:shd w:val="clear" w:color="auto" w:fill="auto"/>
            <w:noWrap/>
            <w:vAlign w:val="center"/>
            <w:hideMark/>
          </w:tcPr>
          <w:p w14:paraId="4A63893C" w14:textId="5A696E1A" w:rsidR="005D4348" w:rsidRPr="005D4348" w:rsidRDefault="005D4348" w:rsidP="005D4348">
            <w:pPr>
              <w:tabs>
                <w:tab w:val="decimal" w:pos="614"/>
              </w:tabs>
              <w:bidi w:val="0"/>
              <w:spacing w:before="80" w:after="80"/>
              <w:rPr>
                <w:rFonts w:ascii="Arial" w:hAnsi="Arial" w:cs="Arial"/>
                <w:b w:val="0"/>
                <w:bCs w:val="0"/>
                <w:szCs w:val="24"/>
                <w:highlight w:val="yellow"/>
                <w:lang w:eastAsia="en-US"/>
              </w:rPr>
            </w:pPr>
            <w:r w:rsidRPr="005D4348">
              <w:rPr>
                <w:rFonts w:ascii="Arial" w:hAnsi="Arial" w:cs="Arial"/>
                <w:b w:val="0"/>
                <w:bCs w:val="0"/>
                <w:szCs w:val="24"/>
                <w:lang w:eastAsia="en-US"/>
              </w:rPr>
              <w:t>72.9</w:t>
            </w:r>
          </w:p>
        </w:tc>
        <w:tc>
          <w:tcPr>
            <w:tcW w:w="1314" w:type="dxa"/>
            <w:tcBorders>
              <w:left w:val="single" w:sz="8" w:space="0" w:color="auto"/>
              <w:right w:val="single" w:sz="4" w:space="0" w:color="auto"/>
            </w:tcBorders>
            <w:shd w:val="clear" w:color="auto" w:fill="auto"/>
            <w:noWrap/>
            <w:vAlign w:val="center"/>
            <w:hideMark/>
          </w:tcPr>
          <w:p w14:paraId="67948CE6" w14:textId="79761B85" w:rsidR="005D4348" w:rsidRPr="005D4348" w:rsidRDefault="005D4348" w:rsidP="005D4348">
            <w:pPr>
              <w:tabs>
                <w:tab w:val="decimal" w:pos="560"/>
              </w:tabs>
              <w:bidi w:val="0"/>
              <w:spacing w:before="80" w:after="80"/>
              <w:rPr>
                <w:rFonts w:ascii="Arial" w:hAnsi="Arial" w:cs="Arial"/>
                <w:b w:val="0"/>
                <w:bCs w:val="0"/>
                <w:szCs w:val="24"/>
                <w:highlight w:val="yellow"/>
                <w:lang w:eastAsia="en-US"/>
              </w:rPr>
            </w:pPr>
            <w:r w:rsidRPr="005D4348">
              <w:rPr>
                <w:rFonts w:ascii="Arial" w:hAnsi="Arial" w:cs="Arial"/>
                <w:b w:val="0"/>
                <w:bCs w:val="0"/>
                <w:szCs w:val="24"/>
                <w:lang w:eastAsia="en-US"/>
              </w:rPr>
              <w:t>63.8</w:t>
            </w:r>
          </w:p>
        </w:tc>
      </w:tr>
      <w:tr w:rsidR="005D4348" w:rsidRPr="00CA2F78" w14:paraId="5AE5894C" w14:textId="77777777" w:rsidTr="003E145D">
        <w:trPr>
          <w:trHeight w:val="439"/>
          <w:jc w:val="center"/>
        </w:trPr>
        <w:tc>
          <w:tcPr>
            <w:tcW w:w="3507" w:type="dxa"/>
            <w:tcBorders>
              <w:left w:val="single" w:sz="8" w:space="0" w:color="auto"/>
              <w:bottom w:val="single" w:sz="8" w:space="0" w:color="auto"/>
              <w:right w:val="nil"/>
            </w:tcBorders>
            <w:shd w:val="clear" w:color="auto" w:fill="auto"/>
            <w:noWrap/>
            <w:vAlign w:val="center"/>
            <w:hideMark/>
          </w:tcPr>
          <w:p w14:paraId="780202D0" w14:textId="77777777" w:rsidR="005D4348" w:rsidRPr="005D4348" w:rsidRDefault="005D4348" w:rsidP="005D4348">
            <w:pPr>
              <w:bidi w:val="0"/>
              <w:spacing w:before="80" w:after="80"/>
              <w:rPr>
                <w:rFonts w:ascii="Arial" w:hAnsi="Arial" w:cs="Arial"/>
                <w:b w:val="0"/>
                <w:bCs w:val="0"/>
                <w:szCs w:val="24"/>
                <w:lang w:eastAsia="en-US"/>
              </w:rPr>
            </w:pPr>
            <w:r w:rsidRPr="005D4348">
              <w:rPr>
                <w:rFonts w:ascii="Arial" w:hAnsi="Arial" w:cs="Arial"/>
                <w:b w:val="0"/>
                <w:bCs w:val="0"/>
                <w:szCs w:val="24"/>
                <w:lang w:eastAsia="en-US"/>
              </w:rPr>
              <w:t>Third degree</w:t>
            </w:r>
          </w:p>
        </w:tc>
        <w:tc>
          <w:tcPr>
            <w:tcW w:w="1314" w:type="dxa"/>
            <w:tcBorders>
              <w:left w:val="single" w:sz="8" w:space="0" w:color="auto"/>
              <w:bottom w:val="single" w:sz="8" w:space="0" w:color="auto"/>
              <w:right w:val="nil"/>
            </w:tcBorders>
            <w:shd w:val="clear" w:color="auto" w:fill="auto"/>
            <w:noWrap/>
            <w:vAlign w:val="center"/>
            <w:hideMark/>
          </w:tcPr>
          <w:p w14:paraId="0032D835" w14:textId="5219FC77" w:rsidR="005D4348" w:rsidRPr="005D4348" w:rsidRDefault="005D4348" w:rsidP="005D4348">
            <w:pPr>
              <w:tabs>
                <w:tab w:val="decimal" w:pos="614"/>
              </w:tabs>
              <w:bidi w:val="0"/>
              <w:spacing w:before="80" w:after="80"/>
              <w:rPr>
                <w:rFonts w:ascii="Arial" w:hAnsi="Arial" w:cs="Arial"/>
                <w:b w:val="0"/>
                <w:bCs w:val="0"/>
                <w:szCs w:val="24"/>
                <w:highlight w:val="yellow"/>
                <w:lang w:eastAsia="en-US"/>
              </w:rPr>
            </w:pPr>
            <w:r w:rsidRPr="005D4348">
              <w:rPr>
                <w:rFonts w:ascii="Arial" w:hAnsi="Arial" w:cs="Arial"/>
                <w:b w:val="0"/>
                <w:bCs w:val="0"/>
                <w:szCs w:val="24"/>
              </w:rPr>
              <w:t>64.1</w:t>
            </w:r>
          </w:p>
        </w:tc>
        <w:tc>
          <w:tcPr>
            <w:tcW w:w="1314" w:type="dxa"/>
            <w:tcBorders>
              <w:left w:val="single" w:sz="8" w:space="0" w:color="auto"/>
              <w:bottom w:val="single" w:sz="8" w:space="0" w:color="auto"/>
              <w:right w:val="single" w:sz="4" w:space="0" w:color="auto"/>
            </w:tcBorders>
            <w:shd w:val="clear" w:color="auto" w:fill="auto"/>
            <w:noWrap/>
            <w:vAlign w:val="center"/>
            <w:hideMark/>
          </w:tcPr>
          <w:p w14:paraId="399D196F" w14:textId="0B8EA63D" w:rsidR="005D4348" w:rsidRPr="005D4348" w:rsidRDefault="005D4348" w:rsidP="005D4348">
            <w:pPr>
              <w:tabs>
                <w:tab w:val="decimal" w:pos="560"/>
              </w:tabs>
              <w:bidi w:val="0"/>
              <w:spacing w:before="80" w:after="80"/>
              <w:rPr>
                <w:rFonts w:ascii="Arial" w:hAnsi="Arial" w:cs="Arial"/>
                <w:b w:val="0"/>
                <w:bCs w:val="0"/>
                <w:szCs w:val="24"/>
                <w:lang w:eastAsia="en-US"/>
              </w:rPr>
            </w:pPr>
            <w:r w:rsidRPr="005D4348">
              <w:rPr>
                <w:rFonts w:ascii="Arial" w:hAnsi="Arial" w:cs="Arial"/>
                <w:b w:val="0"/>
                <w:bCs w:val="0"/>
                <w:szCs w:val="24"/>
              </w:rPr>
              <w:t>53.2</w:t>
            </w:r>
          </w:p>
        </w:tc>
      </w:tr>
    </w:tbl>
    <w:p w14:paraId="7DDB2538" w14:textId="77777777" w:rsidR="00DB0968" w:rsidRPr="00DB0968" w:rsidRDefault="00DB0968">
      <w:pPr>
        <w:bidi w:val="0"/>
        <w:rPr>
          <w:rFonts w:ascii="Arial" w:hAnsi="Arial" w:cs="Arial"/>
          <w:color w:val="215868"/>
          <w:szCs w:val="24"/>
          <w:rtl/>
        </w:rPr>
      </w:pPr>
      <w:r w:rsidRPr="00DB0968">
        <w:rPr>
          <w:rtl/>
        </w:rPr>
        <w:br w:type="page"/>
      </w:r>
    </w:p>
    <w:p w14:paraId="65798430" w14:textId="77777777" w:rsidR="00DB0968" w:rsidRPr="00DB0968" w:rsidRDefault="00DB0968" w:rsidP="00DB0968">
      <w:pPr>
        <w:pStyle w:val="Heading3"/>
        <w:spacing w:before="360"/>
      </w:pPr>
      <w:r w:rsidRPr="00DB0968">
        <w:t>Students at the Open University in 2020/21</w:t>
      </w:r>
    </w:p>
    <w:p w14:paraId="01D11F46" w14:textId="018BA551" w:rsidR="00DB0968" w:rsidRPr="00DB0968" w:rsidRDefault="00DB0968" w:rsidP="00642B10">
      <w:pPr>
        <w:bidi w:val="0"/>
        <w:spacing w:before="60" w:line="360" w:lineRule="auto"/>
        <w:rPr>
          <w:rFonts w:asciiTheme="minorBidi" w:hAnsiTheme="minorBidi" w:cstheme="minorBidi"/>
          <w:b w:val="0"/>
          <w:bCs w:val="0"/>
          <w:szCs w:val="24"/>
        </w:rPr>
      </w:pPr>
      <w:r w:rsidRPr="00DB0968">
        <w:rPr>
          <w:rFonts w:asciiTheme="minorBidi" w:hAnsiTheme="minorBidi" w:cstheme="minorBidi"/>
          <w:b w:val="0"/>
          <w:bCs w:val="0"/>
          <w:szCs w:val="24"/>
        </w:rPr>
        <w:t>In 2020/21, there were 700 Christian students at the Open University; they comprsie 1.3% of the total number of students there, less than their share in the general population (about 2%); 80.3% of the Christian students were Arabs (600 students)</w:t>
      </w:r>
      <w:r w:rsidR="00642B10">
        <w:rPr>
          <w:rFonts w:asciiTheme="minorBidi" w:hAnsiTheme="minorBidi" w:cstheme="minorBidi"/>
          <w:b w:val="0"/>
          <w:bCs w:val="0"/>
          <w:szCs w:val="24"/>
        </w:rPr>
        <w:t>.</w:t>
      </w:r>
      <w:r w:rsidRPr="00DB0968">
        <w:rPr>
          <w:rFonts w:asciiTheme="minorBidi" w:hAnsiTheme="minorBidi" w:cstheme="minorBidi"/>
          <w:b w:val="0"/>
          <w:bCs w:val="0"/>
          <w:szCs w:val="24"/>
        </w:rPr>
        <w:t xml:space="preserve"> of all Christian students </w:t>
      </w:r>
      <w:r w:rsidR="00642B10" w:rsidRPr="00DB0968">
        <w:rPr>
          <w:rFonts w:asciiTheme="minorBidi" w:hAnsiTheme="minorBidi" w:cstheme="minorBidi"/>
          <w:b w:val="0"/>
          <w:bCs w:val="0"/>
          <w:szCs w:val="24"/>
        </w:rPr>
        <w:t xml:space="preserve">92.8% </w:t>
      </w:r>
      <w:r w:rsidRPr="00DB0968">
        <w:rPr>
          <w:rFonts w:asciiTheme="minorBidi" w:hAnsiTheme="minorBidi" w:cstheme="minorBidi"/>
          <w:b w:val="0"/>
          <w:bCs w:val="0"/>
          <w:szCs w:val="24"/>
        </w:rPr>
        <w:t>studied for a first degree, 5.5% studied towards a second degree and 1.7% studied towards an academic diploma.</w:t>
      </w:r>
    </w:p>
    <w:p w14:paraId="4EA9813E" w14:textId="6551C640" w:rsidR="00DB0968" w:rsidRDefault="00DB0968" w:rsidP="00DB0968">
      <w:pPr>
        <w:bidi w:val="0"/>
        <w:spacing w:before="60" w:line="360" w:lineRule="auto"/>
        <w:rPr>
          <w:rFonts w:asciiTheme="minorBidi" w:hAnsiTheme="minorBidi" w:cstheme="minorBidi"/>
          <w:b w:val="0"/>
          <w:bCs w:val="0"/>
          <w:szCs w:val="24"/>
        </w:rPr>
      </w:pPr>
      <w:r w:rsidRPr="00DB0968">
        <w:rPr>
          <w:rFonts w:asciiTheme="minorBidi" w:hAnsiTheme="minorBidi" w:cstheme="minorBidi"/>
          <w:b w:val="0"/>
          <w:bCs w:val="0"/>
          <w:szCs w:val="24"/>
        </w:rPr>
        <w:t>For a first degree, Christian students studied more social sciences than non-Christian students (66.3% versus 59.7%, respectively) and less math</w:t>
      </w:r>
      <w:r w:rsidR="00642B10">
        <w:rPr>
          <w:rFonts w:asciiTheme="minorBidi" w:hAnsiTheme="minorBidi" w:cstheme="minorBidi"/>
          <w:b w:val="0"/>
          <w:bCs w:val="0"/>
          <w:szCs w:val="24"/>
        </w:rPr>
        <w:t>ematics</w:t>
      </w:r>
      <w:r w:rsidRPr="00DB0968">
        <w:rPr>
          <w:rFonts w:asciiTheme="minorBidi" w:hAnsiTheme="minorBidi" w:cstheme="minorBidi"/>
          <w:b w:val="0"/>
          <w:bCs w:val="0"/>
          <w:szCs w:val="24"/>
        </w:rPr>
        <w:t>, statistics and computer science (10.2% versus to 13.5%, respectively).</w:t>
      </w:r>
    </w:p>
    <w:p w14:paraId="32D105E5" w14:textId="2EB9C3F1" w:rsidR="00CB419C" w:rsidRPr="000A55D3" w:rsidRDefault="00CB419C" w:rsidP="00636749">
      <w:pPr>
        <w:pStyle w:val="Heading2"/>
      </w:pPr>
      <w:r w:rsidRPr="006A38C5">
        <w:t>Employment</w:t>
      </w:r>
    </w:p>
    <w:p w14:paraId="17DC0181" w14:textId="2C33C932" w:rsidR="00CB419C" w:rsidRPr="000A55D3" w:rsidRDefault="00CB419C" w:rsidP="00C92241">
      <w:pPr>
        <w:bidi w:val="0"/>
        <w:spacing w:after="120" w:line="360" w:lineRule="auto"/>
        <w:rPr>
          <w:rFonts w:ascii="Arial" w:hAnsi="Arial" w:cs="Arial"/>
          <w:szCs w:val="24"/>
        </w:rPr>
      </w:pPr>
      <w:r w:rsidRPr="000A55D3">
        <w:rPr>
          <w:rFonts w:ascii="Arial" w:hAnsi="Arial" w:cs="Arial"/>
          <w:b w:val="0"/>
          <w:bCs w:val="0"/>
          <w:szCs w:val="24"/>
        </w:rPr>
        <w:t>The</w:t>
      </w:r>
      <w:r w:rsidRPr="000A55D3">
        <w:rPr>
          <w:rFonts w:ascii="Arial" w:hAnsi="Arial" w:cs="Arial"/>
          <w:szCs w:val="24"/>
        </w:rPr>
        <w:t xml:space="preserve"> percentage of participation in the labour force</w:t>
      </w:r>
      <w:r w:rsidRPr="000A55D3">
        <w:rPr>
          <w:rFonts w:ascii="Arial" w:hAnsi="Arial" w:cs="Arial"/>
          <w:b w:val="0"/>
          <w:bCs w:val="0"/>
          <w:szCs w:val="24"/>
        </w:rPr>
        <w:t xml:space="preserve"> among </w:t>
      </w:r>
      <w:r w:rsidRPr="000A55D3">
        <w:rPr>
          <w:rFonts w:ascii="Arial" w:hAnsi="Arial" w:cs="Arial"/>
          <w:szCs w:val="24"/>
        </w:rPr>
        <w:t>Christians</w:t>
      </w:r>
      <w:r w:rsidRPr="000A55D3">
        <w:rPr>
          <w:rFonts w:ascii="Arial" w:hAnsi="Arial" w:cs="Arial"/>
          <w:b w:val="0"/>
          <w:bCs w:val="0"/>
          <w:szCs w:val="24"/>
        </w:rPr>
        <w:t xml:space="preserve"> aged 15 and over in 20</w:t>
      </w:r>
      <w:r w:rsidR="00C92241">
        <w:rPr>
          <w:rFonts w:ascii="Arial" w:hAnsi="Arial" w:cs="Arial"/>
          <w:b w:val="0"/>
          <w:bCs w:val="0"/>
          <w:szCs w:val="24"/>
        </w:rPr>
        <w:t>20</w:t>
      </w:r>
      <w:r w:rsidRPr="000A55D3">
        <w:rPr>
          <w:rFonts w:ascii="Arial" w:hAnsi="Arial" w:cs="Arial"/>
          <w:b w:val="0"/>
          <w:bCs w:val="0"/>
          <w:szCs w:val="24"/>
        </w:rPr>
        <w:t xml:space="preserve"> was </w:t>
      </w:r>
      <w:r w:rsidR="007D4CA8">
        <w:rPr>
          <w:rFonts w:ascii="Arial" w:hAnsi="Arial" w:cs="Arial"/>
          <w:b w:val="0"/>
          <w:bCs w:val="0"/>
          <w:szCs w:val="24"/>
        </w:rPr>
        <w:t>6</w:t>
      </w:r>
      <w:r w:rsidR="00C92241">
        <w:rPr>
          <w:rFonts w:ascii="Arial" w:hAnsi="Arial" w:cs="Arial"/>
          <w:b w:val="0"/>
          <w:bCs w:val="0"/>
          <w:szCs w:val="24"/>
        </w:rPr>
        <w:t>4</w:t>
      </w:r>
      <w:r w:rsidR="007D4CA8">
        <w:rPr>
          <w:rFonts w:ascii="Arial" w:hAnsi="Arial" w:cs="Arial"/>
          <w:b w:val="0"/>
          <w:bCs w:val="0"/>
          <w:szCs w:val="24"/>
        </w:rPr>
        <w:t>.</w:t>
      </w:r>
      <w:r w:rsidR="00C92241">
        <w:rPr>
          <w:rFonts w:ascii="Arial" w:hAnsi="Arial" w:cs="Arial"/>
          <w:b w:val="0"/>
          <w:bCs w:val="0"/>
          <w:szCs w:val="24"/>
        </w:rPr>
        <w:t>6</w:t>
      </w:r>
      <w:r w:rsidRPr="000A55D3">
        <w:rPr>
          <w:rFonts w:ascii="Arial" w:hAnsi="Arial" w:cs="Arial"/>
          <w:b w:val="0"/>
          <w:bCs w:val="0"/>
          <w:szCs w:val="24"/>
        </w:rPr>
        <w:t>% (</w:t>
      </w:r>
      <w:r w:rsidR="00C92241">
        <w:rPr>
          <w:rFonts w:ascii="Arial" w:hAnsi="Arial" w:cs="Arial"/>
          <w:b w:val="0"/>
          <w:bCs w:val="0"/>
          <w:szCs w:val="24"/>
        </w:rPr>
        <w:t>68</w:t>
      </w:r>
      <w:r w:rsidR="007D4CA8">
        <w:rPr>
          <w:rFonts w:ascii="Arial" w:hAnsi="Arial" w:cs="Arial"/>
          <w:b w:val="0"/>
          <w:bCs w:val="0"/>
          <w:szCs w:val="24"/>
        </w:rPr>
        <w:t>.</w:t>
      </w:r>
      <w:r w:rsidR="00C92241">
        <w:rPr>
          <w:rFonts w:ascii="Arial" w:hAnsi="Arial" w:cs="Arial"/>
          <w:b w:val="0"/>
          <w:bCs w:val="0"/>
          <w:szCs w:val="24"/>
        </w:rPr>
        <w:t>2</w:t>
      </w:r>
      <w:r w:rsidRPr="000A55D3">
        <w:rPr>
          <w:rFonts w:ascii="Arial" w:hAnsi="Arial" w:cs="Arial"/>
          <w:b w:val="0"/>
          <w:bCs w:val="0"/>
          <w:szCs w:val="24"/>
        </w:rPr>
        <w:t xml:space="preserve">% among men and </w:t>
      </w:r>
      <w:r w:rsidR="007D4CA8">
        <w:rPr>
          <w:rFonts w:ascii="Arial" w:hAnsi="Arial" w:cs="Arial"/>
          <w:b w:val="0"/>
          <w:bCs w:val="0"/>
          <w:szCs w:val="24"/>
        </w:rPr>
        <w:t>6</w:t>
      </w:r>
      <w:r w:rsidR="00C92241">
        <w:rPr>
          <w:rFonts w:ascii="Arial" w:hAnsi="Arial" w:cs="Arial"/>
          <w:b w:val="0"/>
          <w:bCs w:val="0"/>
          <w:szCs w:val="24"/>
        </w:rPr>
        <w:t>1</w:t>
      </w:r>
      <w:r w:rsidR="007D4CA8">
        <w:rPr>
          <w:rFonts w:ascii="Arial" w:hAnsi="Arial" w:cs="Arial"/>
          <w:b w:val="0"/>
          <w:bCs w:val="0"/>
          <w:szCs w:val="24"/>
        </w:rPr>
        <w:t>.</w:t>
      </w:r>
      <w:r w:rsidR="00C92241">
        <w:rPr>
          <w:rFonts w:ascii="Arial" w:hAnsi="Arial" w:cs="Arial"/>
          <w:b w:val="0"/>
          <w:bCs w:val="0"/>
          <w:szCs w:val="24"/>
        </w:rPr>
        <w:t>9</w:t>
      </w:r>
      <w:r w:rsidRPr="000A55D3">
        <w:rPr>
          <w:rFonts w:ascii="Arial" w:hAnsi="Arial" w:cs="Arial"/>
          <w:b w:val="0"/>
          <w:bCs w:val="0"/>
          <w:szCs w:val="24"/>
        </w:rPr>
        <w:t>% among women).</w:t>
      </w:r>
      <w:r w:rsidRPr="000A55D3">
        <w:rPr>
          <w:rFonts w:ascii="Arial" w:hAnsi="Arial" w:cs="Arial"/>
          <w:szCs w:val="24"/>
        </w:rPr>
        <w:t xml:space="preserve"> </w:t>
      </w:r>
      <w:r w:rsidRPr="000A55D3">
        <w:rPr>
          <w:rFonts w:ascii="Arial" w:hAnsi="Arial" w:cs="Arial"/>
          <w:b w:val="0"/>
          <w:bCs w:val="0"/>
          <w:szCs w:val="24"/>
        </w:rPr>
        <w:t xml:space="preserve">Among </w:t>
      </w:r>
      <w:r w:rsidRPr="003E145D">
        <w:rPr>
          <w:rFonts w:ascii="Arial" w:hAnsi="Arial" w:cs="Arial"/>
          <w:szCs w:val="24"/>
        </w:rPr>
        <w:t>Arab Christians</w:t>
      </w:r>
      <w:r w:rsidRPr="000A55D3">
        <w:rPr>
          <w:rFonts w:ascii="Arial" w:hAnsi="Arial" w:cs="Arial"/>
          <w:b w:val="0"/>
          <w:bCs w:val="0"/>
          <w:szCs w:val="24"/>
        </w:rPr>
        <w:t xml:space="preserve">, </w:t>
      </w:r>
      <w:r w:rsidR="004E613F">
        <w:rPr>
          <w:rFonts w:ascii="Arial" w:hAnsi="Arial" w:cs="Arial"/>
          <w:b w:val="0"/>
          <w:bCs w:val="0"/>
          <w:szCs w:val="24"/>
        </w:rPr>
        <w:t>this figure</w:t>
      </w:r>
      <w:r w:rsidRPr="000A55D3">
        <w:rPr>
          <w:rFonts w:ascii="Arial" w:hAnsi="Arial" w:cs="Arial"/>
          <w:b w:val="0"/>
          <w:bCs w:val="0"/>
          <w:szCs w:val="24"/>
        </w:rPr>
        <w:t xml:space="preserve"> was </w:t>
      </w:r>
      <w:r w:rsidR="004E613F">
        <w:rPr>
          <w:rFonts w:ascii="Arial" w:hAnsi="Arial" w:cs="Arial"/>
          <w:b w:val="0"/>
          <w:bCs w:val="0"/>
          <w:szCs w:val="24"/>
        </w:rPr>
        <w:t>5</w:t>
      </w:r>
      <w:r w:rsidR="00C92241">
        <w:rPr>
          <w:rFonts w:ascii="Arial" w:hAnsi="Arial" w:cs="Arial"/>
          <w:b w:val="0"/>
          <w:bCs w:val="0"/>
          <w:szCs w:val="24"/>
        </w:rPr>
        <w:t>3</w:t>
      </w:r>
      <w:r w:rsidR="004E613F">
        <w:rPr>
          <w:rFonts w:ascii="Arial" w:hAnsi="Arial" w:cs="Arial"/>
          <w:b w:val="0"/>
          <w:bCs w:val="0"/>
          <w:szCs w:val="24"/>
        </w:rPr>
        <w:t>.</w:t>
      </w:r>
      <w:r w:rsidR="00C92241">
        <w:rPr>
          <w:rFonts w:ascii="Arial" w:hAnsi="Arial" w:cs="Arial"/>
          <w:b w:val="0"/>
          <w:bCs w:val="0"/>
          <w:szCs w:val="24"/>
        </w:rPr>
        <w:t>7</w:t>
      </w:r>
      <w:r w:rsidRPr="000A55D3">
        <w:rPr>
          <w:rFonts w:ascii="Arial" w:hAnsi="Arial" w:cs="Arial"/>
          <w:b w:val="0"/>
          <w:bCs w:val="0"/>
          <w:szCs w:val="24"/>
        </w:rPr>
        <w:t>% (</w:t>
      </w:r>
      <w:r w:rsidR="004E613F">
        <w:rPr>
          <w:rFonts w:ascii="Arial" w:hAnsi="Arial" w:cs="Arial"/>
          <w:b w:val="0"/>
          <w:bCs w:val="0"/>
          <w:szCs w:val="24"/>
        </w:rPr>
        <w:t>6</w:t>
      </w:r>
      <w:r w:rsidR="00C92241">
        <w:rPr>
          <w:rFonts w:ascii="Arial" w:hAnsi="Arial" w:cs="Arial"/>
          <w:b w:val="0"/>
          <w:bCs w:val="0"/>
          <w:szCs w:val="24"/>
        </w:rPr>
        <w:t>2</w:t>
      </w:r>
      <w:r w:rsidR="004E613F">
        <w:rPr>
          <w:rFonts w:ascii="Arial" w:hAnsi="Arial" w:cs="Arial"/>
          <w:b w:val="0"/>
          <w:bCs w:val="0"/>
          <w:szCs w:val="24"/>
        </w:rPr>
        <w:t>.</w:t>
      </w:r>
      <w:r w:rsidR="00C92241">
        <w:rPr>
          <w:rFonts w:ascii="Arial" w:hAnsi="Arial" w:cs="Arial"/>
          <w:b w:val="0"/>
          <w:bCs w:val="0"/>
          <w:szCs w:val="24"/>
        </w:rPr>
        <w:t>3</w:t>
      </w:r>
      <w:r w:rsidRPr="000A55D3">
        <w:rPr>
          <w:rFonts w:ascii="Arial" w:hAnsi="Arial" w:cs="Arial"/>
          <w:b w:val="0"/>
          <w:bCs w:val="0"/>
          <w:szCs w:val="24"/>
        </w:rPr>
        <w:t xml:space="preserve">% among men and </w:t>
      </w:r>
      <w:r w:rsidR="0001597E">
        <w:rPr>
          <w:rFonts w:ascii="Arial" w:hAnsi="Arial" w:cs="Arial"/>
          <w:b w:val="0"/>
          <w:bCs w:val="0"/>
          <w:szCs w:val="24"/>
        </w:rPr>
        <w:t>4</w:t>
      </w:r>
      <w:r w:rsidR="00C92241">
        <w:rPr>
          <w:rFonts w:ascii="Arial" w:hAnsi="Arial" w:cs="Arial"/>
          <w:b w:val="0"/>
          <w:bCs w:val="0"/>
          <w:szCs w:val="24"/>
        </w:rPr>
        <w:t>5</w:t>
      </w:r>
      <w:r w:rsidR="0001597E">
        <w:rPr>
          <w:rFonts w:ascii="Arial" w:hAnsi="Arial" w:cs="Arial"/>
          <w:b w:val="0"/>
          <w:bCs w:val="0"/>
          <w:szCs w:val="24"/>
        </w:rPr>
        <w:t>.</w:t>
      </w:r>
      <w:r w:rsidR="00C92241">
        <w:rPr>
          <w:rFonts w:ascii="Arial" w:hAnsi="Arial" w:cs="Arial"/>
          <w:b w:val="0"/>
          <w:bCs w:val="0"/>
          <w:szCs w:val="24"/>
        </w:rPr>
        <w:t>2</w:t>
      </w:r>
      <w:r w:rsidRPr="000A55D3">
        <w:rPr>
          <w:rFonts w:ascii="Arial" w:hAnsi="Arial" w:cs="Arial"/>
          <w:b w:val="0"/>
          <w:bCs w:val="0"/>
          <w:szCs w:val="24"/>
        </w:rPr>
        <w:t xml:space="preserve">% among women). By comparison, </w:t>
      </w:r>
      <w:r w:rsidRPr="00FE0ACF">
        <w:rPr>
          <w:rFonts w:ascii="Arial" w:hAnsi="Arial" w:cs="Arial"/>
          <w:b w:val="0"/>
          <w:bCs w:val="0"/>
          <w:szCs w:val="24"/>
        </w:rPr>
        <w:t xml:space="preserve">the percentage of participation in the labour force among </w:t>
      </w:r>
      <w:r w:rsidRPr="00587F4C">
        <w:rPr>
          <w:rFonts w:ascii="Arial" w:hAnsi="Arial" w:cs="Arial"/>
          <w:szCs w:val="24"/>
        </w:rPr>
        <w:t>Jews</w:t>
      </w:r>
      <w:r w:rsidRPr="000A55D3">
        <w:rPr>
          <w:rFonts w:ascii="Arial" w:hAnsi="Arial" w:cs="Arial"/>
          <w:b w:val="0"/>
          <w:bCs w:val="0"/>
          <w:szCs w:val="24"/>
        </w:rPr>
        <w:t xml:space="preserve"> aged 15 and over in 20</w:t>
      </w:r>
      <w:r w:rsidR="00C92241">
        <w:rPr>
          <w:rFonts w:ascii="Arial" w:hAnsi="Arial" w:cs="Arial"/>
          <w:b w:val="0"/>
          <w:bCs w:val="0"/>
          <w:szCs w:val="24"/>
        </w:rPr>
        <w:t>20</w:t>
      </w:r>
      <w:r w:rsidRPr="000A55D3">
        <w:rPr>
          <w:rFonts w:ascii="Arial" w:hAnsi="Arial" w:cs="Arial"/>
          <w:b w:val="0"/>
          <w:bCs w:val="0"/>
          <w:szCs w:val="24"/>
        </w:rPr>
        <w:t xml:space="preserve"> was 6</w:t>
      </w:r>
      <w:r w:rsidR="00C92241">
        <w:rPr>
          <w:rFonts w:ascii="Arial" w:hAnsi="Arial" w:cs="Arial"/>
          <w:b w:val="0"/>
          <w:bCs w:val="0"/>
          <w:szCs w:val="24"/>
        </w:rPr>
        <w:t>6</w:t>
      </w:r>
      <w:r w:rsidRPr="000A55D3">
        <w:rPr>
          <w:rFonts w:ascii="Arial" w:hAnsi="Arial" w:cs="Arial"/>
          <w:b w:val="0"/>
          <w:bCs w:val="0"/>
          <w:szCs w:val="24"/>
        </w:rPr>
        <w:t>.</w:t>
      </w:r>
      <w:r w:rsidR="00C92241">
        <w:rPr>
          <w:rFonts w:ascii="Arial" w:hAnsi="Arial" w:cs="Arial"/>
          <w:b w:val="0"/>
          <w:bCs w:val="0"/>
          <w:szCs w:val="24"/>
        </w:rPr>
        <w:t>5</w:t>
      </w:r>
      <w:r w:rsidRPr="000A55D3">
        <w:rPr>
          <w:rFonts w:ascii="Arial" w:hAnsi="Arial" w:cs="Arial"/>
          <w:b w:val="0"/>
          <w:bCs w:val="0"/>
          <w:szCs w:val="24"/>
        </w:rPr>
        <w:t>% (6</w:t>
      </w:r>
      <w:r w:rsidR="00C92241">
        <w:rPr>
          <w:rFonts w:ascii="Arial" w:hAnsi="Arial" w:cs="Arial"/>
          <w:b w:val="0"/>
          <w:bCs w:val="0"/>
          <w:szCs w:val="24"/>
        </w:rPr>
        <w:t>8</w:t>
      </w:r>
      <w:r w:rsidRPr="000A55D3">
        <w:rPr>
          <w:rFonts w:ascii="Arial" w:hAnsi="Arial" w:cs="Arial"/>
          <w:b w:val="0"/>
          <w:bCs w:val="0"/>
          <w:szCs w:val="24"/>
        </w:rPr>
        <w:t>.</w:t>
      </w:r>
      <w:r w:rsidR="00587F4C">
        <w:rPr>
          <w:rFonts w:ascii="Arial" w:hAnsi="Arial" w:cs="Arial"/>
          <w:b w:val="0"/>
          <w:bCs w:val="0"/>
          <w:szCs w:val="24"/>
        </w:rPr>
        <w:t>1% among Jewish men, and 6</w:t>
      </w:r>
      <w:r w:rsidR="00C92241">
        <w:rPr>
          <w:rFonts w:ascii="Arial" w:hAnsi="Arial" w:cs="Arial"/>
          <w:b w:val="0"/>
          <w:bCs w:val="0"/>
          <w:szCs w:val="24"/>
        </w:rPr>
        <w:t>4</w:t>
      </w:r>
      <w:r w:rsidR="00587F4C">
        <w:rPr>
          <w:rFonts w:ascii="Arial" w:hAnsi="Arial" w:cs="Arial"/>
          <w:b w:val="0"/>
          <w:bCs w:val="0"/>
          <w:szCs w:val="24"/>
        </w:rPr>
        <w:t>.</w:t>
      </w:r>
      <w:r w:rsidR="00C92241">
        <w:rPr>
          <w:rFonts w:ascii="Arial" w:hAnsi="Arial" w:cs="Arial"/>
          <w:b w:val="0"/>
          <w:bCs w:val="0"/>
          <w:szCs w:val="24"/>
        </w:rPr>
        <w:t>9</w:t>
      </w:r>
      <w:r w:rsidRPr="000A55D3">
        <w:rPr>
          <w:rFonts w:ascii="Arial" w:hAnsi="Arial" w:cs="Arial"/>
          <w:b w:val="0"/>
          <w:bCs w:val="0"/>
          <w:szCs w:val="24"/>
        </w:rPr>
        <w:t>% among Jewish women).</w:t>
      </w:r>
    </w:p>
    <w:p w14:paraId="6E326723" w14:textId="1F70AD4A" w:rsidR="00CB419C" w:rsidRPr="000A55D3" w:rsidRDefault="00CB419C" w:rsidP="00F52EC6">
      <w:pPr>
        <w:bidi w:val="0"/>
        <w:spacing w:after="120" w:line="360" w:lineRule="auto"/>
        <w:rPr>
          <w:rFonts w:ascii="Arial" w:hAnsi="Arial" w:cs="Arial"/>
          <w:b w:val="0"/>
          <w:bCs w:val="0"/>
          <w:szCs w:val="24"/>
        </w:rPr>
      </w:pPr>
      <w:r w:rsidRPr="000A55D3">
        <w:rPr>
          <w:rFonts w:ascii="Arial" w:hAnsi="Arial" w:cs="Arial"/>
          <w:b w:val="0"/>
          <w:bCs w:val="0"/>
          <w:szCs w:val="24"/>
        </w:rPr>
        <w:t>The</w:t>
      </w:r>
      <w:r w:rsidRPr="000A55D3">
        <w:rPr>
          <w:rFonts w:ascii="Arial" w:hAnsi="Arial" w:cs="Arial"/>
          <w:szCs w:val="24"/>
        </w:rPr>
        <w:t xml:space="preserve"> employment rate </w:t>
      </w:r>
      <w:r w:rsidRPr="000A55D3">
        <w:rPr>
          <w:rFonts w:ascii="Arial" w:hAnsi="Arial" w:cs="Arial"/>
          <w:b w:val="0"/>
          <w:bCs w:val="0"/>
          <w:szCs w:val="24"/>
        </w:rPr>
        <w:t xml:space="preserve">(percentage of employed persons out </w:t>
      </w:r>
      <w:r w:rsidR="003E145D">
        <w:rPr>
          <w:rFonts w:ascii="Arial" w:hAnsi="Arial" w:cs="Arial"/>
          <w:b w:val="0"/>
          <w:bCs w:val="0"/>
          <w:szCs w:val="24"/>
        </w:rPr>
        <w:t xml:space="preserve">of </w:t>
      </w:r>
      <w:r w:rsidRPr="000A55D3">
        <w:rPr>
          <w:rFonts w:ascii="Arial" w:hAnsi="Arial" w:cs="Arial"/>
          <w:b w:val="0"/>
          <w:bCs w:val="0"/>
          <w:szCs w:val="24"/>
        </w:rPr>
        <w:t xml:space="preserve">all persons aged 15 and over) among Christians aged 15 and over was </w:t>
      </w:r>
      <w:r w:rsidR="00426BD9">
        <w:rPr>
          <w:rFonts w:ascii="Arial" w:hAnsi="Arial" w:cs="Arial"/>
          <w:b w:val="0"/>
          <w:bCs w:val="0"/>
          <w:szCs w:val="24"/>
        </w:rPr>
        <w:t>6</w:t>
      </w:r>
      <w:r w:rsidR="00F52EC6">
        <w:rPr>
          <w:rFonts w:ascii="Arial" w:hAnsi="Arial" w:cs="Arial"/>
          <w:b w:val="0"/>
          <w:bCs w:val="0"/>
          <w:szCs w:val="24"/>
        </w:rPr>
        <w:t>2</w:t>
      </w:r>
      <w:r w:rsidR="00426BD9">
        <w:rPr>
          <w:rFonts w:ascii="Arial" w:hAnsi="Arial" w:cs="Arial"/>
          <w:b w:val="0"/>
          <w:bCs w:val="0"/>
          <w:szCs w:val="24"/>
        </w:rPr>
        <w:t>.</w:t>
      </w:r>
      <w:r w:rsidR="00F52EC6">
        <w:rPr>
          <w:rFonts w:ascii="Arial" w:hAnsi="Arial" w:cs="Arial"/>
          <w:b w:val="0"/>
          <w:bCs w:val="0"/>
          <w:szCs w:val="24"/>
        </w:rPr>
        <w:t>2</w:t>
      </w:r>
      <w:r w:rsidRPr="000A55D3">
        <w:rPr>
          <w:rFonts w:ascii="Arial" w:hAnsi="Arial" w:cs="Arial"/>
          <w:b w:val="0"/>
          <w:bCs w:val="0"/>
          <w:szCs w:val="24"/>
        </w:rPr>
        <w:t>% (</w:t>
      </w:r>
      <w:r w:rsidR="00426BD9">
        <w:rPr>
          <w:rFonts w:ascii="Arial" w:hAnsi="Arial" w:cs="Arial"/>
          <w:b w:val="0"/>
          <w:bCs w:val="0"/>
          <w:szCs w:val="24"/>
        </w:rPr>
        <w:t>6</w:t>
      </w:r>
      <w:r w:rsidR="00F52EC6">
        <w:rPr>
          <w:rFonts w:ascii="Arial" w:hAnsi="Arial" w:cs="Arial"/>
          <w:b w:val="0"/>
          <w:bCs w:val="0"/>
          <w:szCs w:val="24"/>
        </w:rPr>
        <w:t>5</w:t>
      </w:r>
      <w:r w:rsidR="00426BD9">
        <w:rPr>
          <w:rFonts w:ascii="Arial" w:hAnsi="Arial" w:cs="Arial"/>
          <w:b w:val="0"/>
          <w:bCs w:val="0"/>
          <w:szCs w:val="24"/>
        </w:rPr>
        <w:t>.</w:t>
      </w:r>
      <w:r w:rsidR="00F52EC6">
        <w:rPr>
          <w:rFonts w:ascii="Arial" w:hAnsi="Arial" w:cs="Arial"/>
          <w:b w:val="0"/>
          <w:bCs w:val="0"/>
          <w:szCs w:val="24"/>
        </w:rPr>
        <w:t>4</w:t>
      </w:r>
      <w:r w:rsidRPr="000A55D3">
        <w:rPr>
          <w:rFonts w:ascii="Arial" w:hAnsi="Arial" w:cs="Arial"/>
          <w:b w:val="0"/>
          <w:bCs w:val="0"/>
          <w:szCs w:val="24"/>
        </w:rPr>
        <w:t xml:space="preserve">% among men, and </w:t>
      </w:r>
      <w:r w:rsidR="00F52EC6">
        <w:rPr>
          <w:rFonts w:ascii="Arial" w:hAnsi="Arial" w:cs="Arial"/>
          <w:b w:val="0"/>
          <w:bCs w:val="0"/>
          <w:szCs w:val="24"/>
        </w:rPr>
        <w:t>59</w:t>
      </w:r>
      <w:r w:rsidR="00426BD9">
        <w:rPr>
          <w:rFonts w:ascii="Arial" w:hAnsi="Arial" w:cs="Arial"/>
          <w:b w:val="0"/>
          <w:bCs w:val="0"/>
          <w:szCs w:val="24"/>
        </w:rPr>
        <w:t>.</w:t>
      </w:r>
      <w:r w:rsidR="00F52EC6">
        <w:rPr>
          <w:rFonts w:ascii="Arial" w:hAnsi="Arial" w:cs="Arial"/>
          <w:b w:val="0"/>
          <w:bCs w:val="0"/>
          <w:szCs w:val="24"/>
        </w:rPr>
        <w:t>8</w:t>
      </w:r>
      <w:r w:rsidRPr="000A55D3">
        <w:rPr>
          <w:rFonts w:ascii="Arial" w:hAnsi="Arial" w:cs="Arial"/>
          <w:b w:val="0"/>
          <w:bCs w:val="0"/>
          <w:szCs w:val="24"/>
        </w:rPr>
        <w:t xml:space="preserve">% among women). The employment rate among </w:t>
      </w:r>
      <w:r w:rsidRPr="000A55D3">
        <w:rPr>
          <w:rFonts w:ascii="Arial" w:hAnsi="Arial" w:cs="Arial"/>
          <w:szCs w:val="24"/>
        </w:rPr>
        <w:t>Arab Christians</w:t>
      </w:r>
      <w:r w:rsidRPr="000A55D3">
        <w:rPr>
          <w:rFonts w:ascii="Arial" w:hAnsi="Arial" w:cs="Arial"/>
          <w:b w:val="0"/>
          <w:bCs w:val="0"/>
          <w:szCs w:val="24"/>
        </w:rPr>
        <w:t xml:space="preserve"> was </w:t>
      </w:r>
      <w:r w:rsidR="00382356">
        <w:rPr>
          <w:rFonts w:ascii="Arial" w:hAnsi="Arial" w:cs="Arial"/>
          <w:b w:val="0"/>
          <w:bCs w:val="0"/>
          <w:szCs w:val="24"/>
        </w:rPr>
        <w:t>5</w:t>
      </w:r>
      <w:r w:rsidR="00F52EC6">
        <w:rPr>
          <w:rFonts w:ascii="Arial" w:hAnsi="Arial" w:cs="Arial"/>
          <w:b w:val="0"/>
          <w:bCs w:val="0"/>
          <w:szCs w:val="24"/>
        </w:rPr>
        <w:t>1</w:t>
      </w:r>
      <w:r w:rsidR="00382356">
        <w:rPr>
          <w:rFonts w:ascii="Arial" w:hAnsi="Arial" w:cs="Arial"/>
          <w:b w:val="0"/>
          <w:bCs w:val="0"/>
          <w:szCs w:val="24"/>
        </w:rPr>
        <w:t>.</w:t>
      </w:r>
      <w:r w:rsidR="00F52EC6">
        <w:rPr>
          <w:rFonts w:ascii="Arial" w:hAnsi="Arial" w:cs="Arial"/>
          <w:b w:val="0"/>
          <w:bCs w:val="0"/>
          <w:szCs w:val="24"/>
        </w:rPr>
        <w:t>6</w:t>
      </w:r>
      <w:r w:rsidRPr="000A55D3">
        <w:rPr>
          <w:rFonts w:ascii="Arial" w:hAnsi="Arial" w:cs="Arial"/>
          <w:b w:val="0"/>
          <w:bCs w:val="0"/>
          <w:szCs w:val="24"/>
        </w:rPr>
        <w:t>% (</w:t>
      </w:r>
      <w:r w:rsidR="00A36CD1">
        <w:rPr>
          <w:rFonts w:ascii="Arial" w:hAnsi="Arial" w:cs="Arial"/>
          <w:b w:val="0"/>
          <w:bCs w:val="0"/>
          <w:szCs w:val="24"/>
        </w:rPr>
        <w:t>6</w:t>
      </w:r>
      <w:r w:rsidR="00F52EC6">
        <w:rPr>
          <w:rFonts w:ascii="Arial" w:hAnsi="Arial" w:cs="Arial"/>
          <w:b w:val="0"/>
          <w:bCs w:val="0"/>
          <w:szCs w:val="24"/>
        </w:rPr>
        <w:t>0</w:t>
      </w:r>
      <w:r w:rsidR="00A36CD1">
        <w:rPr>
          <w:rFonts w:ascii="Arial" w:hAnsi="Arial" w:cs="Arial"/>
          <w:b w:val="0"/>
          <w:bCs w:val="0"/>
          <w:szCs w:val="24"/>
        </w:rPr>
        <w:t>.</w:t>
      </w:r>
      <w:r w:rsidR="00F52EC6">
        <w:rPr>
          <w:rFonts w:ascii="Arial" w:hAnsi="Arial" w:cs="Arial"/>
          <w:b w:val="0"/>
          <w:bCs w:val="0"/>
          <w:szCs w:val="24"/>
        </w:rPr>
        <w:t>1</w:t>
      </w:r>
      <w:r w:rsidRPr="000A55D3">
        <w:rPr>
          <w:rFonts w:ascii="Arial" w:hAnsi="Arial" w:cs="Arial"/>
          <w:b w:val="0"/>
          <w:bCs w:val="0"/>
          <w:szCs w:val="24"/>
        </w:rPr>
        <w:t xml:space="preserve">% among men and </w:t>
      </w:r>
      <w:r w:rsidR="00A36CD1">
        <w:rPr>
          <w:rFonts w:ascii="Arial" w:hAnsi="Arial" w:cs="Arial"/>
          <w:b w:val="0"/>
          <w:bCs w:val="0"/>
          <w:szCs w:val="24"/>
        </w:rPr>
        <w:t>4</w:t>
      </w:r>
      <w:r w:rsidR="00F52EC6">
        <w:rPr>
          <w:rFonts w:ascii="Arial" w:hAnsi="Arial" w:cs="Arial"/>
          <w:b w:val="0"/>
          <w:bCs w:val="0"/>
          <w:szCs w:val="24"/>
        </w:rPr>
        <w:t>3</w:t>
      </w:r>
      <w:r w:rsidR="00A36CD1">
        <w:rPr>
          <w:rFonts w:ascii="Arial" w:hAnsi="Arial" w:cs="Arial"/>
          <w:b w:val="0"/>
          <w:bCs w:val="0"/>
          <w:szCs w:val="24"/>
        </w:rPr>
        <w:t>.</w:t>
      </w:r>
      <w:r w:rsidR="00F52EC6">
        <w:rPr>
          <w:rFonts w:ascii="Arial" w:hAnsi="Arial" w:cs="Arial"/>
          <w:b w:val="0"/>
          <w:bCs w:val="0"/>
          <w:szCs w:val="24"/>
        </w:rPr>
        <w:t>1</w:t>
      </w:r>
      <w:r w:rsidRPr="000A55D3">
        <w:rPr>
          <w:rFonts w:ascii="Arial" w:hAnsi="Arial" w:cs="Arial"/>
          <w:b w:val="0"/>
          <w:bCs w:val="0"/>
          <w:szCs w:val="24"/>
        </w:rPr>
        <w:t xml:space="preserve">% among women). By comparison, the employment rate among </w:t>
      </w:r>
      <w:r w:rsidRPr="000A55D3">
        <w:rPr>
          <w:rFonts w:ascii="Arial" w:hAnsi="Arial" w:cs="Arial"/>
          <w:szCs w:val="24"/>
        </w:rPr>
        <w:t>Jews</w:t>
      </w:r>
      <w:r w:rsidRPr="000A55D3">
        <w:rPr>
          <w:rFonts w:ascii="Arial" w:hAnsi="Arial" w:cs="Arial"/>
          <w:b w:val="0"/>
          <w:bCs w:val="0"/>
          <w:szCs w:val="24"/>
        </w:rPr>
        <w:t xml:space="preserve"> aged 15 and over was 6</w:t>
      </w:r>
      <w:r w:rsidR="00F52EC6">
        <w:rPr>
          <w:rFonts w:ascii="Arial" w:hAnsi="Arial" w:cs="Arial"/>
          <w:b w:val="0"/>
          <w:bCs w:val="0"/>
          <w:szCs w:val="24"/>
        </w:rPr>
        <w:t>3</w:t>
      </w:r>
      <w:r w:rsidRPr="000A55D3">
        <w:rPr>
          <w:rFonts w:ascii="Arial" w:hAnsi="Arial" w:cs="Arial"/>
          <w:b w:val="0"/>
          <w:bCs w:val="0"/>
          <w:szCs w:val="24"/>
        </w:rPr>
        <w:t>.</w:t>
      </w:r>
      <w:r w:rsidR="00F52EC6">
        <w:rPr>
          <w:rFonts w:ascii="Arial" w:hAnsi="Arial" w:cs="Arial"/>
          <w:b w:val="0"/>
          <w:bCs w:val="0"/>
          <w:szCs w:val="24"/>
        </w:rPr>
        <w:t>5</w:t>
      </w:r>
      <w:r w:rsidRPr="000A55D3">
        <w:rPr>
          <w:rFonts w:ascii="Arial" w:hAnsi="Arial" w:cs="Arial"/>
          <w:b w:val="0"/>
          <w:bCs w:val="0"/>
          <w:szCs w:val="24"/>
        </w:rPr>
        <w:t>% (</w:t>
      </w:r>
      <w:r w:rsidR="00A36CD1">
        <w:rPr>
          <w:rFonts w:ascii="Arial" w:hAnsi="Arial" w:cs="Arial"/>
          <w:b w:val="0"/>
          <w:bCs w:val="0"/>
          <w:szCs w:val="24"/>
        </w:rPr>
        <w:t>6</w:t>
      </w:r>
      <w:r w:rsidR="00F52EC6">
        <w:rPr>
          <w:rFonts w:ascii="Arial" w:hAnsi="Arial" w:cs="Arial"/>
          <w:b w:val="0"/>
          <w:bCs w:val="0"/>
          <w:szCs w:val="24"/>
        </w:rPr>
        <w:t>4</w:t>
      </w:r>
      <w:r w:rsidR="00A36CD1">
        <w:rPr>
          <w:rFonts w:ascii="Arial" w:hAnsi="Arial" w:cs="Arial"/>
          <w:b w:val="0"/>
          <w:bCs w:val="0"/>
          <w:szCs w:val="24"/>
        </w:rPr>
        <w:t>.</w:t>
      </w:r>
      <w:r w:rsidR="00F52EC6">
        <w:rPr>
          <w:rFonts w:ascii="Arial" w:hAnsi="Arial" w:cs="Arial"/>
          <w:b w:val="0"/>
          <w:bCs w:val="0"/>
          <w:szCs w:val="24"/>
        </w:rPr>
        <w:t>9</w:t>
      </w:r>
      <w:r w:rsidRPr="000A55D3">
        <w:rPr>
          <w:rFonts w:ascii="Arial" w:hAnsi="Arial" w:cs="Arial"/>
          <w:b w:val="0"/>
          <w:bCs w:val="0"/>
          <w:szCs w:val="24"/>
        </w:rPr>
        <w:t xml:space="preserve">% among Jewish men and </w:t>
      </w:r>
      <w:r w:rsidR="00A36CD1">
        <w:rPr>
          <w:rFonts w:ascii="Arial" w:hAnsi="Arial" w:cs="Arial"/>
          <w:b w:val="0"/>
          <w:bCs w:val="0"/>
          <w:szCs w:val="24"/>
        </w:rPr>
        <w:t>6</w:t>
      </w:r>
      <w:r w:rsidR="00F52EC6">
        <w:rPr>
          <w:rFonts w:ascii="Arial" w:hAnsi="Arial" w:cs="Arial"/>
          <w:b w:val="0"/>
          <w:bCs w:val="0"/>
          <w:szCs w:val="24"/>
        </w:rPr>
        <w:t>2</w:t>
      </w:r>
      <w:r w:rsidR="00A36CD1">
        <w:rPr>
          <w:rFonts w:ascii="Arial" w:hAnsi="Arial" w:cs="Arial"/>
          <w:b w:val="0"/>
          <w:bCs w:val="0"/>
          <w:szCs w:val="24"/>
        </w:rPr>
        <w:t>.</w:t>
      </w:r>
      <w:r w:rsidR="00F52EC6">
        <w:rPr>
          <w:rFonts w:ascii="Arial" w:hAnsi="Arial" w:cs="Arial"/>
          <w:b w:val="0"/>
          <w:bCs w:val="0"/>
          <w:szCs w:val="24"/>
        </w:rPr>
        <w:t>1</w:t>
      </w:r>
      <w:r w:rsidRPr="000A55D3">
        <w:rPr>
          <w:rFonts w:ascii="Arial" w:hAnsi="Arial" w:cs="Arial"/>
          <w:b w:val="0"/>
          <w:bCs w:val="0"/>
          <w:szCs w:val="24"/>
        </w:rPr>
        <w:t>% among Jewish women).</w:t>
      </w:r>
    </w:p>
    <w:p w14:paraId="1EAB892D" w14:textId="2ED0B38A" w:rsidR="00CB419C" w:rsidRPr="000A55D3" w:rsidRDefault="00CB419C" w:rsidP="00F52EC6">
      <w:pPr>
        <w:bidi w:val="0"/>
        <w:spacing w:after="120" w:line="360" w:lineRule="auto"/>
        <w:rPr>
          <w:rFonts w:ascii="Arial" w:hAnsi="Arial" w:cs="Arial"/>
          <w:b w:val="0"/>
          <w:bCs w:val="0"/>
          <w:szCs w:val="24"/>
        </w:rPr>
      </w:pPr>
      <w:r w:rsidRPr="000A55D3">
        <w:rPr>
          <w:rFonts w:ascii="Arial" w:hAnsi="Arial" w:cs="Arial"/>
          <w:b w:val="0"/>
          <w:bCs w:val="0"/>
          <w:szCs w:val="24"/>
        </w:rPr>
        <w:t xml:space="preserve">The </w:t>
      </w:r>
      <w:r w:rsidRPr="000A55D3">
        <w:rPr>
          <w:rFonts w:ascii="Arial" w:hAnsi="Arial" w:cs="Arial"/>
          <w:szCs w:val="24"/>
        </w:rPr>
        <w:t xml:space="preserve">percentage of unemployed persons among Christians </w:t>
      </w:r>
      <w:r w:rsidRPr="000A55D3">
        <w:rPr>
          <w:rFonts w:ascii="Arial" w:hAnsi="Arial" w:cs="Arial"/>
          <w:b w:val="0"/>
          <w:bCs w:val="0"/>
          <w:szCs w:val="24"/>
        </w:rPr>
        <w:t xml:space="preserve">aged 15 and over was </w:t>
      </w:r>
      <w:r w:rsidR="00F52EC6">
        <w:rPr>
          <w:rFonts w:ascii="Arial" w:hAnsi="Arial" w:cs="Arial"/>
          <w:b w:val="0"/>
          <w:bCs w:val="0"/>
          <w:szCs w:val="24"/>
        </w:rPr>
        <w:t>3</w:t>
      </w:r>
      <w:r w:rsidR="00CD06F2">
        <w:rPr>
          <w:rFonts w:ascii="Arial" w:hAnsi="Arial" w:cs="Arial"/>
          <w:b w:val="0"/>
          <w:bCs w:val="0"/>
          <w:szCs w:val="24"/>
        </w:rPr>
        <w:t>.</w:t>
      </w:r>
      <w:r w:rsidR="00F52EC6">
        <w:rPr>
          <w:rFonts w:ascii="Arial" w:hAnsi="Arial" w:cs="Arial"/>
          <w:b w:val="0"/>
          <w:bCs w:val="0"/>
          <w:szCs w:val="24"/>
        </w:rPr>
        <w:t>7</w:t>
      </w:r>
      <w:r w:rsidRPr="000A55D3">
        <w:rPr>
          <w:rFonts w:ascii="Arial" w:hAnsi="Arial" w:cs="Arial"/>
          <w:b w:val="0"/>
          <w:bCs w:val="0"/>
          <w:szCs w:val="24"/>
        </w:rPr>
        <w:t>% (</w:t>
      </w:r>
      <w:r w:rsidR="00F52EC6">
        <w:rPr>
          <w:rFonts w:ascii="Arial" w:hAnsi="Arial" w:cs="Arial"/>
          <w:b w:val="0"/>
          <w:bCs w:val="0"/>
          <w:szCs w:val="24"/>
        </w:rPr>
        <w:t>4</w:t>
      </w:r>
      <w:r w:rsidR="00CD06F2">
        <w:rPr>
          <w:rFonts w:ascii="Arial" w:hAnsi="Arial" w:cs="Arial"/>
          <w:b w:val="0"/>
          <w:bCs w:val="0"/>
          <w:szCs w:val="24"/>
        </w:rPr>
        <w:t>.</w:t>
      </w:r>
      <w:r w:rsidR="00F52EC6">
        <w:rPr>
          <w:rFonts w:ascii="Arial" w:hAnsi="Arial" w:cs="Arial"/>
          <w:b w:val="0"/>
          <w:bCs w:val="0"/>
          <w:szCs w:val="24"/>
        </w:rPr>
        <w:t>2</w:t>
      </w:r>
      <w:r w:rsidRPr="000A55D3">
        <w:rPr>
          <w:rFonts w:ascii="Arial" w:hAnsi="Arial" w:cs="Arial"/>
          <w:b w:val="0"/>
          <w:bCs w:val="0"/>
          <w:szCs w:val="24"/>
        </w:rPr>
        <w:t xml:space="preserve">% among men and </w:t>
      </w:r>
      <w:r w:rsidR="00CD06F2">
        <w:rPr>
          <w:rFonts w:ascii="Arial" w:hAnsi="Arial" w:cs="Arial"/>
          <w:b w:val="0"/>
          <w:bCs w:val="0"/>
          <w:szCs w:val="24"/>
        </w:rPr>
        <w:t>3.</w:t>
      </w:r>
      <w:r w:rsidR="00F52EC6">
        <w:rPr>
          <w:rFonts w:ascii="Arial" w:hAnsi="Arial" w:cs="Arial"/>
          <w:b w:val="0"/>
          <w:bCs w:val="0"/>
          <w:szCs w:val="24"/>
        </w:rPr>
        <w:t>3</w:t>
      </w:r>
      <w:r w:rsidRPr="000A55D3">
        <w:rPr>
          <w:rFonts w:ascii="Arial" w:hAnsi="Arial" w:cs="Arial"/>
          <w:b w:val="0"/>
          <w:bCs w:val="0"/>
          <w:szCs w:val="24"/>
        </w:rPr>
        <w:t xml:space="preserve">% among women). This </w:t>
      </w:r>
      <w:r w:rsidR="00CD06F2">
        <w:rPr>
          <w:rFonts w:ascii="Arial" w:hAnsi="Arial" w:cs="Arial"/>
          <w:b w:val="0"/>
          <w:bCs w:val="0"/>
          <w:szCs w:val="24"/>
        </w:rPr>
        <w:t>figure</w:t>
      </w:r>
      <w:r w:rsidRPr="000A55D3">
        <w:rPr>
          <w:rFonts w:ascii="Arial" w:hAnsi="Arial" w:cs="Arial"/>
          <w:b w:val="0"/>
          <w:bCs w:val="0"/>
          <w:szCs w:val="24"/>
        </w:rPr>
        <w:t xml:space="preserve"> among </w:t>
      </w:r>
      <w:r w:rsidRPr="000A55D3">
        <w:rPr>
          <w:rFonts w:ascii="Arial" w:hAnsi="Arial" w:cs="Arial"/>
          <w:szCs w:val="24"/>
        </w:rPr>
        <w:t xml:space="preserve">Arab Christians </w:t>
      </w:r>
      <w:r w:rsidRPr="000A55D3">
        <w:rPr>
          <w:rFonts w:ascii="Arial" w:hAnsi="Arial" w:cs="Arial"/>
          <w:b w:val="0"/>
          <w:bCs w:val="0"/>
          <w:szCs w:val="24"/>
        </w:rPr>
        <w:t xml:space="preserve">was </w:t>
      </w:r>
      <w:r w:rsidR="00F52EC6">
        <w:rPr>
          <w:rFonts w:ascii="Arial" w:hAnsi="Arial" w:cs="Arial"/>
          <w:b w:val="0"/>
          <w:bCs w:val="0"/>
          <w:szCs w:val="24"/>
        </w:rPr>
        <w:t>4</w:t>
      </w:r>
      <w:r w:rsidR="00CD06F2">
        <w:rPr>
          <w:rFonts w:ascii="Arial" w:hAnsi="Arial" w:cs="Arial"/>
          <w:b w:val="0"/>
          <w:bCs w:val="0"/>
          <w:szCs w:val="24"/>
        </w:rPr>
        <w:t>.0</w:t>
      </w:r>
      <w:r w:rsidRPr="000A55D3">
        <w:rPr>
          <w:rFonts w:ascii="Arial" w:hAnsi="Arial" w:cs="Arial"/>
          <w:b w:val="0"/>
          <w:bCs w:val="0"/>
          <w:szCs w:val="24"/>
        </w:rPr>
        <w:t>% (</w:t>
      </w:r>
      <w:r w:rsidR="00F52EC6">
        <w:rPr>
          <w:rFonts w:ascii="Arial" w:hAnsi="Arial" w:cs="Arial"/>
          <w:b w:val="0"/>
          <w:bCs w:val="0"/>
          <w:szCs w:val="24"/>
        </w:rPr>
        <w:t>3</w:t>
      </w:r>
      <w:r w:rsidRPr="000A55D3">
        <w:rPr>
          <w:rFonts w:ascii="Arial" w:hAnsi="Arial" w:cs="Arial"/>
          <w:b w:val="0"/>
          <w:bCs w:val="0"/>
          <w:szCs w:val="24"/>
        </w:rPr>
        <w:t>.</w:t>
      </w:r>
      <w:r w:rsidR="00F52EC6">
        <w:rPr>
          <w:rFonts w:ascii="Arial" w:hAnsi="Arial" w:cs="Arial"/>
          <w:b w:val="0"/>
          <w:bCs w:val="0"/>
          <w:szCs w:val="24"/>
        </w:rPr>
        <w:t>5</w:t>
      </w:r>
      <w:r w:rsidRPr="000A55D3">
        <w:rPr>
          <w:rFonts w:ascii="Arial" w:hAnsi="Arial" w:cs="Arial"/>
          <w:b w:val="0"/>
          <w:bCs w:val="0"/>
          <w:szCs w:val="24"/>
        </w:rPr>
        <w:t xml:space="preserve">% among men and </w:t>
      </w:r>
      <w:r w:rsidR="00CD06F2">
        <w:rPr>
          <w:rFonts w:ascii="Arial" w:hAnsi="Arial" w:cs="Arial"/>
          <w:b w:val="0"/>
          <w:bCs w:val="0"/>
          <w:szCs w:val="24"/>
        </w:rPr>
        <w:t>4</w:t>
      </w:r>
      <w:r w:rsidRPr="000A55D3">
        <w:rPr>
          <w:rFonts w:ascii="Arial" w:hAnsi="Arial" w:cs="Arial"/>
          <w:b w:val="0"/>
          <w:bCs w:val="0"/>
          <w:szCs w:val="24"/>
        </w:rPr>
        <w:t>.</w:t>
      </w:r>
      <w:r w:rsidR="00F52EC6">
        <w:rPr>
          <w:rFonts w:ascii="Arial" w:hAnsi="Arial" w:cs="Arial"/>
          <w:b w:val="0"/>
          <w:bCs w:val="0"/>
          <w:szCs w:val="24"/>
        </w:rPr>
        <w:t>6</w:t>
      </w:r>
      <w:r w:rsidRPr="000A55D3">
        <w:rPr>
          <w:rFonts w:ascii="Arial" w:hAnsi="Arial" w:cs="Arial"/>
          <w:b w:val="0"/>
          <w:bCs w:val="0"/>
          <w:szCs w:val="24"/>
        </w:rPr>
        <w:t>% among women). By comparison, the</w:t>
      </w:r>
      <w:r w:rsidRPr="000A55D3">
        <w:rPr>
          <w:rFonts w:ascii="Arial" w:hAnsi="Arial" w:cs="Arial"/>
          <w:szCs w:val="24"/>
        </w:rPr>
        <w:t xml:space="preserve"> </w:t>
      </w:r>
      <w:r w:rsidRPr="00844A57">
        <w:rPr>
          <w:rFonts w:ascii="Arial" w:hAnsi="Arial" w:cs="Arial"/>
          <w:b w:val="0"/>
          <w:bCs w:val="0"/>
          <w:szCs w:val="24"/>
        </w:rPr>
        <w:t>percentage of unemployed persons among</w:t>
      </w:r>
      <w:r w:rsidRPr="000A55D3">
        <w:rPr>
          <w:rFonts w:ascii="Arial" w:hAnsi="Arial" w:cs="Arial"/>
          <w:szCs w:val="24"/>
        </w:rPr>
        <w:t xml:space="preserve"> Jews </w:t>
      </w:r>
      <w:r w:rsidRPr="000A55D3">
        <w:rPr>
          <w:rFonts w:ascii="Arial" w:hAnsi="Arial" w:cs="Arial"/>
          <w:b w:val="0"/>
          <w:bCs w:val="0"/>
          <w:szCs w:val="24"/>
        </w:rPr>
        <w:t xml:space="preserve">aged 15 and over was </w:t>
      </w:r>
      <w:r w:rsidR="00F52EC6">
        <w:rPr>
          <w:rFonts w:ascii="Arial" w:hAnsi="Arial" w:cs="Arial"/>
          <w:b w:val="0"/>
          <w:bCs w:val="0"/>
          <w:szCs w:val="24"/>
        </w:rPr>
        <w:t>4</w:t>
      </w:r>
      <w:r w:rsidR="00844A57">
        <w:rPr>
          <w:rFonts w:ascii="Arial" w:hAnsi="Arial" w:cs="Arial"/>
          <w:b w:val="0"/>
          <w:bCs w:val="0"/>
          <w:szCs w:val="24"/>
        </w:rPr>
        <w:t>.</w:t>
      </w:r>
      <w:r w:rsidR="00F52EC6">
        <w:rPr>
          <w:rFonts w:ascii="Arial" w:hAnsi="Arial" w:cs="Arial"/>
          <w:b w:val="0"/>
          <w:bCs w:val="0"/>
          <w:szCs w:val="24"/>
        </w:rPr>
        <w:t>5</w:t>
      </w:r>
      <w:r w:rsidRPr="000A55D3">
        <w:rPr>
          <w:rFonts w:ascii="Arial" w:hAnsi="Arial" w:cs="Arial"/>
          <w:b w:val="0"/>
          <w:bCs w:val="0"/>
          <w:szCs w:val="24"/>
        </w:rPr>
        <w:t>% (</w:t>
      </w:r>
      <w:r w:rsidR="00F52EC6">
        <w:rPr>
          <w:rFonts w:ascii="Arial" w:hAnsi="Arial" w:cs="Arial"/>
          <w:b w:val="0"/>
          <w:bCs w:val="0"/>
          <w:szCs w:val="24"/>
        </w:rPr>
        <w:t>4</w:t>
      </w:r>
      <w:r w:rsidR="00844A57">
        <w:rPr>
          <w:rFonts w:ascii="Arial" w:hAnsi="Arial" w:cs="Arial"/>
          <w:b w:val="0"/>
          <w:bCs w:val="0"/>
          <w:szCs w:val="24"/>
        </w:rPr>
        <w:t>.8</w:t>
      </w:r>
      <w:r w:rsidRPr="000A55D3">
        <w:rPr>
          <w:rFonts w:ascii="Arial" w:hAnsi="Arial" w:cs="Arial"/>
          <w:b w:val="0"/>
          <w:bCs w:val="0"/>
          <w:szCs w:val="24"/>
        </w:rPr>
        <w:t xml:space="preserve">% among men and </w:t>
      </w:r>
      <w:r w:rsidR="00F52EC6">
        <w:rPr>
          <w:rFonts w:ascii="Arial" w:hAnsi="Arial" w:cs="Arial"/>
          <w:b w:val="0"/>
          <w:bCs w:val="0"/>
          <w:szCs w:val="24"/>
        </w:rPr>
        <w:t xml:space="preserve">4.2% among </w:t>
      </w:r>
      <w:r w:rsidRPr="000A55D3">
        <w:rPr>
          <w:rFonts w:ascii="Arial" w:hAnsi="Arial" w:cs="Arial"/>
          <w:b w:val="0"/>
          <w:bCs w:val="0"/>
          <w:szCs w:val="24"/>
        </w:rPr>
        <w:t>women)</w:t>
      </w:r>
      <w:r w:rsidR="0020404F">
        <w:rPr>
          <w:rFonts w:ascii="Arial" w:hAnsi="Arial" w:cs="Arial"/>
          <w:b w:val="0"/>
          <w:bCs w:val="0"/>
          <w:szCs w:val="24"/>
        </w:rPr>
        <w:t>.</w:t>
      </w:r>
    </w:p>
    <w:p w14:paraId="35BA46B6" w14:textId="71EBFE1D" w:rsidR="00CB419C" w:rsidRPr="000A55D3" w:rsidRDefault="00CB419C" w:rsidP="00642B10">
      <w:pPr>
        <w:bidi w:val="0"/>
        <w:spacing w:after="120" w:line="360" w:lineRule="auto"/>
        <w:rPr>
          <w:rFonts w:ascii="Arial" w:hAnsi="Arial" w:cs="Arial"/>
          <w:b w:val="0"/>
          <w:bCs w:val="0"/>
          <w:szCs w:val="24"/>
        </w:rPr>
      </w:pPr>
      <w:r w:rsidRPr="000A55D3">
        <w:rPr>
          <w:rFonts w:ascii="Arial" w:hAnsi="Arial" w:cs="Arial"/>
          <w:b w:val="0"/>
          <w:bCs w:val="0"/>
          <w:szCs w:val="24"/>
        </w:rPr>
        <w:t xml:space="preserve">In </w:t>
      </w:r>
      <w:r w:rsidR="008E0711">
        <w:rPr>
          <w:rFonts w:ascii="Arial" w:hAnsi="Arial" w:cs="Arial"/>
          <w:b w:val="0"/>
          <w:bCs w:val="0"/>
          <w:szCs w:val="24"/>
        </w:rPr>
        <w:t>47</w:t>
      </w:r>
      <w:r w:rsidR="00A72D6A">
        <w:rPr>
          <w:rFonts w:ascii="Arial" w:hAnsi="Arial" w:cs="Arial"/>
          <w:b w:val="0"/>
          <w:bCs w:val="0"/>
          <w:szCs w:val="24"/>
        </w:rPr>
        <w:t>,</w:t>
      </w:r>
      <w:r w:rsidR="008E0711">
        <w:rPr>
          <w:rFonts w:ascii="Arial" w:hAnsi="Arial" w:cs="Arial"/>
          <w:b w:val="0"/>
          <w:bCs w:val="0"/>
          <w:szCs w:val="24"/>
        </w:rPr>
        <w:t>9</w:t>
      </w:r>
      <w:r w:rsidR="00A72D6A">
        <w:rPr>
          <w:rFonts w:ascii="Arial" w:hAnsi="Arial" w:cs="Arial"/>
          <w:b w:val="0"/>
          <w:bCs w:val="0"/>
          <w:szCs w:val="24"/>
        </w:rPr>
        <w:t>00</w:t>
      </w:r>
      <w:r w:rsidRPr="000A55D3">
        <w:rPr>
          <w:rFonts w:ascii="Arial" w:hAnsi="Arial" w:cs="Arial"/>
          <w:b w:val="0"/>
          <w:bCs w:val="0"/>
          <w:szCs w:val="24"/>
        </w:rPr>
        <w:t xml:space="preserve"> </w:t>
      </w:r>
      <w:r w:rsidRPr="000A55D3">
        <w:rPr>
          <w:rFonts w:ascii="Arial" w:hAnsi="Arial" w:cs="Arial"/>
          <w:szCs w:val="24"/>
        </w:rPr>
        <w:t>Christian households</w:t>
      </w:r>
      <w:r w:rsidRPr="000A55D3">
        <w:rPr>
          <w:rFonts w:ascii="Arial" w:hAnsi="Arial" w:cs="Arial"/>
          <w:b w:val="0"/>
          <w:bCs w:val="0"/>
          <w:szCs w:val="24"/>
        </w:rPr>
        <w:t xml:space="preserve"> (</w:t>
      </w:r>
      <w:r w:rsidR="001D3B09">
        <w:rPr>
          <w:rFonts w:ascii="Arial" w:hAnsi="Arial" w:cs="Arial"/>
          <w:b w:val="0"/>
          <w:bCs w:val="0"/>
          <w:szCs w:val="24"/>
        </w:rPr>
        <w:t>7</w:t>
      </w:r>
      <w:r w:rsidR="008E0711">
        <w:rPr>
          <w:rFonts w:ascii="Arial" w:hAnsi="Arial" w:cs="Arial"/>
          <w:b w:val="0"/>
          <w:bCs w:val="0"/>
          <w:szCs w:val="24"/>
        </w:rPr>
        <w:t>5</w:t>
      </w:r>
      <w:r w:rsidR="001D3B09">
        <w:rPr>
          <w:rFonts w:ascii="Arial" w:hAnsi="Arial" w:cs="Arial"/>
          <w:b w:val="0"/>
          <w:bCs w:val="0"/>
          <w:szCs w:val="24"/>
        </w:rPr>
        <w:t>.</w:t>
      </w:r>
      <w:r w:rsidR="008E0711">
        <w:rPr>
          <w:rFonts w:ascii="Arial" w:hAnsi="Arial" w:cs="Arial"/>
          <w:b w:val="0"/>
          <w:bCs w:val="0"/>
          <w:szCs w:val="24"/>
        </w:rPr>
        <w:t>5</w:t>
      </w:r>
      <w:r w:rsidRPr="000A55D3">
        <w:rPr>
          <w:rFonts w:ascii="Arial" w:hAnsi="Arial" w:cs="Arial"/>
          <w:b w:val="0"/>
          <w:bCs w:val="0"/>
          <w:szCs w:val="24"/>
        </w:rPr>
        <w:t xml:space="preserve">% of all Christian households), there was </w:t>
      </w:r>
      <w:r w:rsidRPr="000A55D3">
        <w:rPr>
          <w:rFonts w:ascii="Arial" w:hAnsi="Arial" w:cs="Arial"/>
          <w:szCs w:val="24"/>
        </w:rPr>
        <w:t>at least one employed person</w:t>
      </w:r>
      <w:r w:rsidRPr="000A55D3">
        <w:rPr>
          <w:rFonts w:ascii="Arial" w:hAnsi="Arial" w:cs="Arial"/>
          <w:b w:val="0"/>
          <w:bCs w:val="0"/>
          <w:szCs w:val="24"/>
        </w:rPr>
        <w:t xml:space="preserve"> (in </w:t>
      </w:r>
      <w:r w:rsidR="008E0711">
        <w:rPr>
          <w:rFonts w:ascii="Arial" w:hAnsi="Arial" w:cs="Arial"/>
          <w:b w:val="0"/>
          <w:bCs w:val="0"/>
          <w:szCs w:val="24"/>
        </w:rPr>
        <w:t>19</w:t>
      </w:r>
      <w:r w:rsidRPr="000A55D3">
        <w:rPr>
          <w:rFonts w:ascii="Arial" w:hAnsi="Arial" w:cs="Arial"/>
          <w:b w:val="0"/>
          <w:bCs w:val="0"/>
          <w:szCs w:val="24"/>
        </w:rPr>
        <w:t>,</w:t>
      </w:r>
      <w:r w:rsidR="008E0711">
        <w:rPr>
          <w:rFonts w:ascii="Arial" w:hAnsi="Arial" w:cs="Arial"/>
          <w:b w:val="0"/>
          <w:bCs w:val="0"/>
          <w:szCs w:val="24"/>
        </w:rPr>
        <w:t>1</w:t>
      </w:r>
      <w:r w:rsidRPr="000A55D3">
        <w:rPr>
          <w:rFonts w:ascii="Arial" w:hAnsi="Arial" w:cs="Arial"/>
          <w:b w:val="0"/>
          <w:bCs w:val="0"/>
          <w:szCs w:val="24"/>
        </w:rPr>
        <w:t xml:space="preserve">00 households there was only one employed person, and in </w:t>
      </w:r>
      <w:r w:rsidR="008E0711">
        <w:rPr>
          <w:rFonts w:ascii="Arial" w:hAnsi="Arial" w:cs="Arial"/>
          <w:b w:val="0"/>
          <w:bCs w:val="0"/>
          <w:szCs w:val="24"/>
        </w:rPr>
        <w:t>28</w:t>
      </w:r>
      <w:r w:rsidR="004F5F10">
        <w:rPr>
          <w:rFonts w:ascii="Arial" w:hAnsi="Arial" w:cs="Arial"/>
          <w:b w:val="0"/>
          <w:bCs w:val="0"/>
          <w:szCs w:val="24"/>
        </w:rPr>
        <w:t>,</w:t>
      </w:r>
      <w:r w:rsidR="008E0711">
        <w:rPr>
          <w:rFonts w:ascii="Arial" w:hAnsi="Arial" w:cs="Arial"/>
          <w:b w:val="0"/>
          <w:bCs w:val="0"/>
          <w:szCs w:val="24"/>
        </w:rPr>
        <w:t>8</w:t>
      </w:r>
      <w:r w:rsidRPr="000A55D3">
        <w:rPr>
          <w:rFonts w:ascii="Arial" w:hAnsi="Arial" w:cs="Arial"/>
          <w:b w:val="0"/>
          <w:bCs w:val="0"/>
          <w:szCs w:val="24"/>
        </w:rPr>
        <w:t xml:space="preserve">00 households there were two or more employed persons). In </w:t>
      </w:r>
      <w:r w:rsidR="008E0711">
        <w:rPr>
          <w:rFonts w:ascii="Arial" w:hAnsi="Arial" w:cs="Arial"/>
          <w:b w:val="0"/>
          <w:bCs w:val="0"/>
          <w:szCs w:val="24"/>
        </w:rPr>
        <w:t>30</w:t>
      </w:r>
      <w:r w:rsidRPr="000A55D3">
        <w:rPr>
          <w:rFonts w:ascii="Arial" w:hAnsi="Arial" w:cs="Arial"/>
          <w:b w:val="0"/>
          <w:bCs w:val="0"/>
          <w:szCs w:val="24"/>
        </w:rPr>
        <w:t>,</w:t>
      </w:r>
      <w:r w:rsidR="008E0711">
        <w:rPr>
          <w:rFonts w:ascii="Arial" w:hAnsi="Arial" w:cs="Arial"/>
          <w:b w:val="0"/>
          <w:bCs w:val="0"/>
          <w:szCs w:val="24"/>
        </w:rPr>
        <w:t>6</w:t>
      </w:r>
      <w:r w:rsidRPr="000A55D3">
        <w:rPr>
          <w:rFonts w:ascii="Arial" w:hAnsi="Arial" w:cs="Arial"/>
          <w:b w:val="0"/>
          <w:bCs w:val="0"/>
          <w:szCs w:val="24"/>
        </w:rPr>
        <w:t xml:space="preserve">00 </w:t>
      </w:r>
      <w:r w:rsidRPr="000A55D3">
        <w:rPr>
          <w:rFonts w:ascii="Arial" w:hAnsi="Arial" w:cs="Arial"/>
          <w:szCs w:val="24"/>
        </w:rPr>
        <w:t xml:space="preserve">Arab Christian households </w:t>
      </w:r>
      <w:r w:rsidRPr="000A55D3">
        <w:rPr>
          <w:rFonts w:ascii="Arial" w:hAnsi="Arial" w:cs="Arial"/>
          <w:b w:val="0"/>
          <w:bCs w:val="0"/>
          <w:szCs w:val="24"/>
        </w:rPr>
        <w:t>(</w:t>
      </w:r>
      <w:r w:rsidR="004100DB">
        <w:rPr>
          <w:rFonts w:ascii="Arial" w:hAnsi="Arial" w:cs="Arial"/>
          <w:b w:val="0"/>
          <w:bCs w:val="0"/>
          <w:szCs w:val="24"/>
        </w:rPr>
        <w:t>7</w:t>
      </w:r>
      <w:r w:rsidR="008E0711">
        <w:rPr>
          <w:rFonts w:ascii="Arial" w:hAnsi="Arial" w:cs="Arial"/>
          <w:b w:val="0"/>
          <w:bCs w:val="0"/>
          <w:szCs w:val="24"/>
        </w:rPr>
        <w:t>4</w:t>
      </w:r>
      <w:r w:rsidR="004100DB">
        <w:rPr>
          <w:rFonts w:ascii="Arial" w:hAnsi="Arial" w:cs="Arial"/>
          <w:b w:val="0"/>
          <w:bCs w:val="0"/>
          <w:szCs w:val="24"/>
        </w:rPr>
        <w:t>.</w:t>
      </w:r>
      <w:r w:rsidR="008E0711">
        <w:rPr>
          <w:rFonts w:ascii="Arial" w:hAnsi="Arial" w:cs="Arial"/>
          <w:b w:val="0"/>
          <w:bCs w:val="0"/>
          <w:szCs w:val="24"/>
        </w:rPr>
        <w:t>1</w:t>
      </w:r>
      <w:r w:rsidRPr="000A55D3">
        <w:rPr>
          <w:rFonts w:ascii="Arial" w:hAnsi="Arial" w:cs="Arial"/>
          <w:b w:val="0"/>
          <w:bCs w:val="0"/>
          <w:szCs w:val="24"/>
        </w:rPr>
        <w:t xml:space="preserve">% of all Arab Christian households) there was at least one employed person (in </w:t>
      </w:r>
      <w:r w:rsidR="0084762B">
        <w:rPr>
          <w:rFonts w:ascii="Arial" w:hAnsi="Arial" w:cs="Arial"/>
          <w:b w:val="0"/>
          <w:bCs w:val="0"/>
          <w:szCs w:val="24"/>
        </w:rPr>
        <w:t>11,</w:t>
      </w:r>
      <w:r w:rsidR="008E0711">
        <w:rPr>
          <w:rFonts w:ascii="Arial" w:hAnsi="Arial" w:cs="Arial"/>
          <w:b w:val="0"/>
          <w:bCs w:val="0"/>
          <w:szCs w:val="24"/>
        </w:rPr>
        <w:t>7</w:t>
      </w:r>
      <w:r w:rsidR="0084762B">
        <w:rPr>
          <w:rFonts w:ascii="Arial" w:hAnsi="Arial" w:cs="Arial"/>
          <w:b w:val="0"/>
          <w:bCs w:val="0"/>
          <w:szCs w:val="24"/>
        </w:rPr>
        <w:t>00</w:t>
      </w:r>
      <w:r w:rsidRPr="000A55D3">
        <w:rPr>
          <w:rFonts w:ascii="Arial" w:hAnsi="Arial" w:cs="Arial"/>
          <w:b w:val="0"/>
          <w:bCs w:val="0"/>
          <w:szCs w:val="24"/>
        </w:rPr>
        <w:t xml:space="preserve"> households there was only one employed person, and in </w:t>
      </w:r>
      <w:r w:rsidR="00A71746">
        <w:rPr>
          <w:rFonts w:ascii="Arial" w:hAnsi="Arial" w:cs="Arial"/>
          <w:b w:val="0"/>
          <w:bCs w:val="0"/>
          <w:szCs w:val="24"/>
        </w:rPr>
        <w:t>18,</w:t>
      </w:r>
      <w:r w:rsidR="008E0711">
        <w:rPr>
          <w:rFonts w:ascii="Arial" w:hAnsi="Arial" w:cs="Arial"/>
          <w:b w:val="0"/>
          <w:bCs w:val="0"/>
          <w:szCs w:val="24"/>
        </w:rPr>
        <w:t>8</w:t>
      </w:r>
      <w:r w:rsidR="00A71746">
        <w:rPr>
          <w:rFonts w:ascii="Arial" w:hAnsi="Arial" w:cs="Arial"/>
          <w:b w:val="0"/>
          <w:bCs w:val="0"/>
          <w:szCs w:val="24"/>
        </w:rPr>
        <w:t>00</w:t>
      </w:r>
      <w:r w:rsidRPr="000A55D3">
        <w:rPr>
          <w:rFonts w:ascii="Arial" w:hAnsi="Arial" w:cs="Arial"/>
          <w:b w:val="0"/>
          <w:bCs w:val="0"/>
          <w:szCs w:val="24"/>
        </w:rPr>
        <w:t xml:space="preserve"> households there were two or more employed persons). By comparison, in 1,</w:t>
      </w:r>
      <w:r w:rsidR="00BE0934">
        <w:rPr>
          <w:rFonts w:ascii="Arial" w:hAnsi="Arial" w:cs="Arial"/>
          <w:b w:val="0"/>
          <w:bCs w:val="0"/>
          <w:szCs w:val="24"/>
        </w:rPr>
        <w:t>7</w:t>
      </w:r>
      <w:r w:rsidR="008E0711">
        <w:rPr>
          <w:rFonts w:ascii="Arial" w:hAnsi="Arial" w:cs="Arial"/>
          <w:b w:val="0"/>
          <w:bCs w:val="0"/>
          <w:szCs w:val="24"/>
        </w:rPr>
        <w:t>47</w:t>
      </w:r>
      <w:r w:rsidR="00BE0934">
        <w:rPr>
          <w:rFonts w:ascii="Arial" w:hAnsi="Arial" w:cs="Arial"/>
          <w:b w:val="0"/>
          <w:bCs w:val="0"/>
          <w:szCs w:val="24"/>
        </w:rPr>
        <w:t>,</w:t>
      </w:r>
      <w:r w:rsidR="00642B10">
        <w:rPr>
          <w:rFonts w:ascii="Arial" w:hAnsi="Arial" w:cs="Arial"/>
          <w:b w:val="0"/>
          <w:bCs w:val="0"/>
          <w:szCs w:val="24"/>
        </w:rPr>
        <w:t>0</w:t>
      </w:r>
      <w:r w:rsidR="00BE0934">
        <w:rPr>
          <w:rFonts w:ascii="Arial" w:hAnsi="Arial" w:cs="Arial"/>
          <w:b w:val="0"/>
          <w:bCs w:val="0"/>
          <w:szCs w:val="24"/>
        </w:rPr>
        <w:t>00</w:t>
      </w:r>
      <w:r w:rsidRPr="000A55D3">
        <w:rPr>
          <w:rFonts w:ascii="Arial" w:hAnsi="Arial" w:cs="Arial"/>
          <w:b w:val="0"/>
          <w:bCs w:val="0"/>
          <w:szCs w:val="24"/>
        </w:rPr>
        <w:t xml:space="preserve"> </w:t>
      </w:r>
      <w:r w:rsidRPr="000A55D3">
        <w:rPr>
          <w:rFonts w:ascii="Arial" w:hAnsi="Arial" w:cs="Arial"/>
          <w:szCs w:val="24"/>
        </w:rPr>
        <w:t>Jewish households</w:t>
      </w:r>
      <w:r w:rsidRPr="000A55D3">
        <w:rPr>
          <w:rFonts w:ascii="Arial" w:hAnsi="Arial" w:cs="Arial"/>
          <w:b w:val="0"/>
          <w:bCs w:val="0"/>
          <w:szCs w:val="24"/>
        </w:rPr>
        <w:t xml:space="preserve"> (7</w:t>
      </w:r>
      <w:r w:rsidR="008E0711">
        <w:rPr>
          <w:rFonts w:ascii="Arial" w:hAnsi="Arial" w:cs="Arial"/>
          <w:b w:val="0"/>
          <w:bCs w:val="0"/>
          <w:szCs w:val="24"/>
        </w:rPr>
        <w:t>8</w:t>
      </w:r>
      <w:r w:rsidRPr="000A55D3">
        <w:rPr>
          <w:rFonts w:ascii="Arial" w:hAnsi="Arial" w:cs="Arial"/>
          <w:b w:val="0"/>
          <w:bCs w:val="0"/>
          <w:szCs w:val="24"/>
        </w:rPr>
        <w:t>.</w:t>
      </w:r>
      <w:r w:rsidR="008E0711">
        <w:rPr>
          <w:rFonts w:ascii="Arial" w:hAnsi="Arial" w:cs="Arial"/>
          <w:b w:val="0"/>
          <w:bCs w:val="0"/>
          <w:szCs w:val="24"/>
        </w:rPr>
        <w:t>9</w:t>
      </w:r>
      <w:r w:rsidRPr="000A55D3">
        <w:rPr>
          <w:rFonts w:ascii="Arial" w:hAnsi="Arial" w:cs="Arial"/>
          <w:b w:val="0"/>
          <w:bCs w:val="0"/>
          <w:szCs w:val="24"/>
        </w:rPr>
        <w:t xml:space="preserve">% of all Jewish households), there was </w:t>
      </w:r>
      <w:r w:rsidRPr="003E145D">
        <w:rPr>
          <w:rFonts w:ascii="Arial" w:hAnsi="Arial" w:cs="Arial"/>
          <w:b w:val="0"/>
          <w:bCs w:val="0"/>
          <w:szCs w:val="24"/>
        </w:rPr>
        <w:t>at least one employed person</w:t>
      </w:r>
      <w:r w:rsidRPr="000A55D3">
        <w:rPr>
          <w:rFonts w:ascii="Arial" w:hAnsi="Arial" w:cs="Arial"/>
          <w:b w:val="0"/>
          <w:bCs w:val="0"/>
          <w:szCs w:val="24"/>
        </w:rPr>
        <w:t xml:space="preserve"> (in </w:t>
      </w:r>
      <w:r w:rsidR="009D3111">
        <w:rPr>
          <w:rFonts w:ascii="Arial" w:hAnsi="Arial" w:cs="Arial"/>
          <w:b w:val="0"/>
          <w:bCs w:val="0"/>
          <w:szCs w:val="24"/>
        </w:rPr>
        <w:t>6</w:t>
      </w:r>
      <w:r w:rsidR="008E0711">
        <w:rPr>
          <w:rFonts w:ascii="Arial" w:hAnsi="Arial" w:cs="Arial"/>
          <w:b w:val="0"/>
          <w:bCs w:val="0"/>
          <w:szCs w:val="24"/>
        </w:rPr>
        <w:t>96</w:t>
      </w:r>
      <w:r w:rsidR="009D3111">
        <w:rPr>
          <w:rFonts w:ascii="Arial" w:hAnsi="Arial" w:cs="Arial"/>
          <w:b w:val="0"/>
          <w:bCs w:val="0"/>
          <w:szCs w:val="24"/>
        </w:rPr>
        <w:t>,</w:t>
      </w:r>
      <w:r w:rsidR="008E0711">
        <w:rPr>
          <w:rFonts w:ascii="Arial" w:hAnsi="Arial" w:cs="Arial"/>
          <w:b w:val="0"/>
          <w:bCs w:val="0"/>
          <w:szCs w:val="24"/>
        </w:rPr>
        <w:t>5</w:t>
      </w:r>
      <w:r w:rsidR="009D3111">
        <w:rPr>
          <w:rFonts w:ascii="Arial" w:hAnsi="Arial" w:cs="Arial"/>
          <w:b w:val="0"/>
          <w:bCs w:val="0"/>
          <w:szCs w:val="24"/>
        </w:rPr>
        <w:t>00</w:t>
      </w:r>
      <w:r w:rsidRPr="000A55D3">
        <w:rPr>
          <w:rFonts w:ascii="Arial" w:hAnsi="Arial" w:cs="Arial"/>
          <w:b w:val="0"/>
          <w:bCs w:val="0"/>
          <w:szCs w:val="24"/>
        </w:rPr>
        <w:t xml:space="preserve"> households there was only one employed person, and in 1,0</w:t>
      </w:r>
      <w:r w:rsidR="00E63FC6">
        <w:rPr>
          <w:rFonts w:ascii="Arial" w:hAnsi="Arial" w:cs="Arial"/>
          <w:b w:val="0"/>
          <w:bCs w:val="0"/>
          <w:szCs w:val="24"/>
        </w:rPr>
        <w:t>5</w:t>
      </w:r>
      <w:r w:rsidR="008E0711">
        <w:rPr>
          <w:rFonts w:ascii="Arial" w:hAnsi="Arial" w:cs="Arial"/>
          <w:b w:val="0"/>
          <w:bCs w:val="0"/>
          <w:szCs w:val="24"/>
        </w:rPr>
        <w:t>1</w:t>
      </w:r>
      <w:r w:rsidR="00E63FC6">
        <w:rPr>
          <w:rFonts w:ascii="Arial" w:hAnsi="Arial" w:cs="Arial"/>
          <w:b w:val="0"/>
          <w:bCs w:val="0"/>
          <w:szCs w:val="24"/>
        </w:rPr>
        <w:t>,</w:t>
      </w:r>
      <w:r w:rsidR="008E0711">
        <w:rPr>
          <w:rFonts w:ascii="Arial" w:hAnsi="Arial" w:cs="Arial"/>
          <w:b w:val="0"/>
          <w:bCs w:val="0"/>
          <w:szCs w:val="24"/>
        </w:rPr>
        <w:t>5</w:t>
      </w:r>
      <w:r w:rsidRPr="000A55D3">
        <w:rPr>
          <w:rFonts w:ascii="Arial" w:hAnsi="Arial" w:cs="Arial"/>
          <w:b w:val="0"/>
          <w:bCs w:val="0"/>
          <w:szCs w:val="24"/>
        </w:rPr>
        <w:t>00 households there were two or more employed persons).</w:t>
      </w:r>
    </w:p>
    <w:p w14:paraId="463772E8" w14:textId="3DBC3603" w:rsidR="007F15BF" w:rsidRDefault="00CB419C" w:rsidP="008E0711">
      <w:pPr>
        <w:bidi w:val="0"/>
        <w:spacing w:after="120" w:line="360" w:lineRule="auto"/>
        <w:rPr>
          <w:rFonts w:ascii="Arial" w:hAnsi="Arial" w:cs="Arial"/>
          <w:b w:val="0"/>
          <w:bCs w:val="0"/>
          <w:szCs w:val="24"/>
        </w:rPr>
      </w:pPr>
      <w:r w:rsidRPr="000A55D3">
        <w:rPr>
          <w:rFonts w:ascii="Arial" w:hAnsi="Arial" w:cs="Arial"/>
          <w:b w:val="0"/>
          <w:bCs w:val="0"/>
          <w:szCs w:val="24"/>
        </w:rPr>
        <w:t xml:space="preserve">The </w:t>
      </w:r>
      <w:r w:rsidRPr="000A55D3">
        <w:rPr>
          <w:rFonts w:ascii="Arial" w:hAnsi="Arial" w:cs="Arial"/>
          <w:szCs w:val="24"/>
        </w:rPr>
        <w:t>housing density</w:t>
      </w:r>
      <w:r w:rsidRPr="000A55D3">
        <w:rPr>
          <w:rFonts w:ascii="Arial" w:hAnsi="Arial" w:cs="Arial"/>
          <w:b w:val="0"/>
          <w:bCs w:val="0"/>
          <w:szCs w:val="24"/>
        </w:rPr>
        <w:t xml:space="preserve"> of Christian households was 0.9</w:t>
      </w:r>
      <w:r w:rsidR="008E0711">
        <w:rPr>
          <w:rFonts w:ascii="Arial" w:hAnsi="Arial" w:cs="Arial"/>
          <w:b w:val="0"/>
          <w:bCs w:val="0"/>
          <w:szCs w:val="24"/>
        </w:rPr>
        <w:t>6</w:t>
      </w:r>
      <w:r w:rsidRPr="000A55D3">
        <w:rPr>
          <w:rFonts w:ascii="Arial" w:hAnsi="Arial" w:cs="Arial"/>
          <w:b w:val="0"/>
          <w:bCs w:val="0"/>
          <w:szCs w:val="24"/>
        </w:rPr>
        <w:t xml:space="preserve"> persons per room (</w:t>
      </w:r>
      <w:r w:rsidR="00CE0EFB">
        <w:rPr>
          <w:rFonts w:ascii="Arial" w:hAnsi="Arial" w:cs="Arial"/>
          <w:b w:val="0"/>
          <w:bCs w:val="0"/>
          <w:szCs w:val="24"/>
        </w:rPr>
        <w:t>1.0</w:t>
      </w:r>
      <w:r w:rsidR="008E0711">
        <w:rPr>
          <w:rFonts w:ascii="Arial" w:hAnsi="Arial" w:cs="Arial"/>
          <w:b w:val="0"/>
          <w:bCs w:val="0"/>
          <w:szCs w:val="24"/>
        </w:rPr>
        <w:t>1</w:t>
      </w:r>
      <w:r w:rsidRPr="000A55D3">
        <w:rPr>
          <w:rFonts w:ascii="Arial" w:hAnsi="Arial" w:cs="Arial"/>
          <w:b w:val="0"/>
          <w:bCs w:val="0"/>
          <w:szCs w:val="24"/>
        </w:rPr>
        <w:t xml:space="preserve"> persons per room in </w:t>
      </w:r>
      <w:r w:rsidRPr="003E145D">
        <w:rPr>
          <w:rFonts w:ascii="Arial" w:hAnsi="Arial" w:cs="Arial"/>
          <w:szCs w:val="24"/>
        </w:rPr>
        <w:t>Arab Christian</w:t>
      </w:r>
      <w:r w:rsidRPr="000A55D3">
        <w:rPr>
          <w:rFonts w:ascii="Arial" w:hAnsi="Arial" w:cs="Arial"/>
          <w:b w:val="0"/>
          <w:bCs w:val="0"/>
          <w:szCs w:val="24"/>
        </w:rPr>
        <w:t xml:space="preserve"> households). By comparison, the housing density of </w:t>
      </w:r>
      <w:r w:rsidRPr="003E145D">
        <w:rPr>
          <w:rFonts w:ascii="Arial" w:hAnsi="Arial" w:cs="Arial"/>
          <w:szCs w:val="24"/>
        </w:rPr>
        <w:t>Jewish</w:t>
      </w:r>
      <w:r w:rsidRPr="000A55D3">
        <w:rPr>
          <w:rFonts w:ascii="Arial" w:hAnsi="Arial" w:cs="Arial"/>
          <w:b w:val="0"/>
          <w:bCs w:val="0"/>
          <w:szCs w:val="24"/>
        </w:rPr>
        <w:t xml:space="preserve"> households was 0.</w:t>
      </w:r>
      <w:r w:rsidR="00556351">
        <w:rPr>
          <w:rFonts w:ascii="Arial" w:hAnsi="Arial" w:cs="Arial"/>
          <w:b w:val="0"/>
          <w:bCs w:val="0"/>
          <w:szCs w:val="24"/>
        </w:rPr>
        <w:t>79</w:t>
      </w:r>
      <w:r w:rsidRPr="000A55D3">
        <w:rPr>
          <w:rFonts w:ascii="Arial" w:hAnsi="Arial" w:cs="Arial"/>
          <w:b w:val="0"/>
          <w:bCs w:val="0"/>
          <w:szCs w:val="24"/>
        </w:rPr>
        <w:t xml:space="preserve"> persons per room.</w:t>
      </w:r>
    </w:p>
    <w:p w14:paraId="3823C007" w14:textId="77777777" w:rsidR="00C31194" w:rsidRPr="00C31194" w:rsidRDefault="00C31194" w:rsidP="00751468">
      <w:pPr>
        <w:pStyle w:val="Heading2"/>
      </w:pPr>
      <w:r w:rsidRPr="00C31194">
        <w:t xml:space="preserve">Christians Aged 20 and Over — 2020 Social Survey Data </w:t>
      </w:r>
    </w:p>
    <w:p w14:paraId="4E8AA0C3" w14:textId="77777777" w:rsidR="00C31194" w:rsidRDefault="00C31194" w:rsidP="00642B10">
      <w:pPr>
        <w:pStyle w:val="ListParagraph"/>
        <w:numPr>
          <w:ilvl w:val="0"/>
          <w:numId w:val="40"/>
        </w:numPr>
        <w:bidi w:val="0"/>
        <w:spacing w:line="360" w:lineRule="auto"/>
        <w:ind w:left="426"/>
        <w:rPr>
          <w:rFonts w:asciiTheme="minorBidi" w:hAnsiTheme="minorBidi" w:cstheme="minorBidi"/>
          <w:b w:val="0"/>
          <w:bCs w:val="0"/>
        </w:rPr>
      </w:pPr>
      <w:r>
        <w:rPr>
          <w:rFonts w:asciiTheme="minorBidi" w:hAnsiTheme="minorBidi" w:cstheme="minorBidi"/>
          <w:b w:val="0"/>
          <w:bCs w:val="0"/>
        </w:rPr>
        <w:t xml:space="preserve">84% </w:t>
      </w:r>
      <w:r w:rsidRPr="004D2C4A">
        <w:rPr>
          <w:rFonts w:asciiTheme="minorBidi" w:hAnsiTheme="minorBidi" w:cstheme="minorBidi"/>
          <w:b w:val="0"/>
          <w:bCs w:val="0"/>
        </w:rPr>
        <w:t>were satisfied with their lives</w:t>
      </w:r>
      <w:r>
        <w:rPr>
          <w:rFonts w:asciiTheme="minorBidi" w:hAnsiTheme="minorBidi" w:cstheme="minorBidi"/>
          <w:b w:val="0"/>
          <w:bCs w:val="0"/>
        </w:rPr>
        <w:t>: 24% were very satisfied and 60% were satisfied.</w:t>
      </w:r>
    </w:p>
    <w:p w14:paraId="62D506CB"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Pr>
      </w:pPr>
      <w:r w:rsidRPr="00642B10">
        <w:rPr>
          <w:rFonts w:asciiTheme="minorBidi" w:hAnsiTheme="minorBidi" w:cstheme="minorBidi"/>
          <w:b w:val="0"/>
          <w:bCs w:val="0"/>
        </w:rPr>
        <w:t>46% of Christians are optimistic and estimate that their lives in the coming years will be better.</w:t>
      </w:r>
    </w:p>
    <w:p w14:paraId="217294DB"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Pr>
      </w:pPr>
      <w:r w:rsidRPr="00642B10">
        <w:rPr>
          <w:rFonts w:asciiTheme="minorBidi" w:hAnsiTheme="minorBidi" w:cstheme="minorBidi"/>
          <w:b w:val="0"/>
          <w:bCs w:val="0"/>
        </w:rPr>
        <w:t>47% estimate that their health is 'very good', another 34% — that their health is 'good'.</w:t>
      </w:r>
    </w:p>
    <w:p w14:paraId="43C559BE"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szCs w:val="24"/>
          <w:rtl/>
        </w:rPr>
      </w:pPr>
      <w:r w:rsidRPr="00642B10">
        <w:rPr>
          <w:rFonts w:asciiTheme="minorBidi" w:hAnsiTheme="minorBidi" w:cstheme="minorBidi"/>
          <w:b w:val="0"/>
          <w:bCs w:val="0"/>
        </w:rPr>
        <w:t>59% of the Christians were satisfied with their economic situation</w:t>
      </w:r>
      <w:r w:rsidRPr="00642B10">
        <w:rPr>
          <w:rFonts w:asciiTheme="minorBidi" w:hAnsiTheme="minorBidi" w:cstheme="minorBidi"/>
          <w:b w:val="0"/>
          <w:bCs w:val="0"/>
          <w:szCs w:val="24"/>
        </w:rPr>
        <w:t xml:space="preserve">; </w:t>
      </w:r>
      <w:r w:rsidRPr="00642B10">
        <w:rPr>
          <w:rFonts w:asciiTheme="minorBidi" w:hAnsiTheme="minorBidi" w:cstheme="minorBidi" w:hint="cs"/>
          <w:b w:val="0"/>
          <w:bCs w:val="0"/>
          <w:rtl/>
        </w:rPr>
        <w:t>74</w:t>
      </w:r>
      <w:r w:rsidRPr="00642B10">
        <w:rPr>
          <w:rFonts w:asciiTheme="minorBidi" w:hAnsiTheme="minorBidi" w:cstheme="minorBidi"/>
          <w:b w:val="0"/>
          <w:bCs w:val="0"/>
        </w:rPr>
        <w:t xml:space="preserve">% succeed in covering the monthly household expenses </w:t>
      </w:r>
      <w:r w:rsidRPr="00642B10">
        <w:rPr>
          <w:rFonts w:asciiTheme="minorBidi" w:hAnsiTheme="minorBidi" w:cstheme="minorBidi"/>
          <w:b w:val="0"/>
          <w:bCs w:val="0"/>
          <w:szCs w:val="24"/>
        </w:rPr>
        <w:t xml:space="preserve">for food, electricity, telephone, etc. </w:t>
      </w:r>
    </w:p>
    <w:p w14:paraId="58754675"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Pr>
      </w:pPr>
      <w:r w:rsidRPr="00642B10">
        <w:rPr>
          <w:rFonts w:asciiTheme="minorBidi" w:hAnsiTheme="minorBidi" w:cstheme="minorBidi"/>
          <w:b w:val="0"/>
          <w:bCs w:val="0"/>
        </w:rPr>
        <w:t>91% of Christian employed persons are satisfied with their work, 68% are satisfied with their income from work.</w:t>
      </w:r>
    </w:p>
    <w:p w14:paraId="261CE447"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Pr>
      </w:pPr>
      <w:r w:rsidRPr="00642B10">
        <w:rPr>
          <w:rFonts w:asciiTheme="minorBidi" w:hAnsiTheme="minorBidi" w:cstheme="minorBidi"/>
          <w:b w:val="0"/>
          <w:bCs w:val="0"/>
        </w:rPr>
        <w:t>58% of Christians have a 'good' or 'very good' level of speaking Hebrew, 23% have a medium level. The rest (19%) speak Hebrew with difficulty or do not know how to speak Hebrew at all.</w:t>
      </w:r>
    </w:p>
    <w:p w14:paraId="3D6E2F3E"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Pr>
      </w:pPr>
      <w:r w:rsidRPr="00642B10">
        <w:rPr>
          <w:rFonts w:asciiTheme="minorBidi" w:hAnsiTheme="minorBidi" w:cstheme="minorBidi"/>
          <w:b w:val="0"/>
          <w:bCs w:val="0"/>
        </w:rPr>
        <w:t>93% of Christians use the Internet.</w:t>
      </w:r>
    </w:p>
    <w:p w14:paraId="471720E2" w14:textId="77777777" w:rsidR="00C31194" w:rsidRPr="00642B10" w:rsidRDefault="00C31194" w:rsidP="00642B10">
      <w:pPr>
        <w:pStyle w:val="ListParagraph"/>
        <w:numPr>
          <w:ilvl w:val="0"/>
          <w:numId w:val="40"/>
        </w:numPr>
        <w:bidi w:val="0"/>
        <w:spacing w:line="360" w:lineRule="auto"/>
        <w:ind w:left="426"/>
        <w:rPr>
          <w:rFonts w:asciiTheme="minorBidi" w:hAnsiTheme="minorBidi" w:cstheme="minorBidi"/>
          <w:b w:val="0"/>
          <w:bCs w:val="0"/>
          <w:rtl/>
        </w:rPr>
      </w:pPr>
      <w:r w:rsidRPr="00642B10">
        <w:rPr>
          <w:rFonts w:asciiTheme="minorBidi" w:hAnsiTheme="minorBidi" w:cstheme="minorBidi"/>
          <w:b w:val="0"/>
          <w:bCs w:val="0"/>
        </w:rPr>
        <w:t>31% of Christians shop online; one-third (33%) used the Internet to obtain services from government ministries, such as downloading or filling out forms, obtaining permits and certificates (in the three months prior to the interview).</w:t>
      </w:r>
    </w:p>
    <w:p w14:paraId="0544D79A" w14:textId="77777777" w:rsidR="00161021" w:rsidRDefault="00161021">
      <w:pPr>
        <w:bidi w:val="0"/>
        <w:rPr>
          <w:rFonts w:ascii="Arial" w:hAnsi="Arial" w:cs="Arial"/>
          <w:color w:val="4F81BD"/>
          <w:szCs w:val="24"/>
        </w:rPr>
      </w:pPr>
      <w:r>
        <w:br w:type="page"/>
      </w:r>
    </w:p>
    <w:p w14:paraId="5840105C" w14:textId="2C0A9D39" w:rsidR="007B734B" w:rsidRDefault="00447668" w:rsidP="00447668">
      <w:pPr>
        <w:pStyle w:val="Heading2"/>
        <w:keepNext/>
      </w:pPr>
      <w:r>
        <w:t>Welfare</w:t>
      </w:r>
    </w:p>
    <w:p w14:paraId="2CC090B6" w14:textId="7D44AA35" w:rsidR="00731767" w:rsidRDefault="00731767" w:rsidP="00447668">
      <w:pPr>
        <w:pStyle w:val="Heading3"/>
      </w:pPr>
      <w:r w:rsidRPr="002A645F">
        <w:t>Persons Reg</w:t>
      </w:r>
      <w:r w:rsidR="0069497A">
        <w:t xml:space="preserve">istered at the Ministry of </w:t>
      </w:r>
      <w:r w:rsidR="00447668">
        <w:t>Welfare and</w:t>
      </w:r>
      <w:r w:rsidRPr="002A645F">
        <w:t xml:space="preserve"> </w:t>
      </w:r>
      <w:r w:rsidR="0069497A">
        <w:t>Social Affairs</w:t>
      </w:r>
      <w:r w:rsidR="002A645F" w:rsidRPr="002A645F">
        <w:rPr>
          <w:rStyle w:val="FootnoteReference"/>
          <w:b w:val="0"/>
          <w:bCs w:val="0"/>
        </w:rPr>
        <w:footnoteReference w:id="13"/>
      </w:r>
      <w:r w:rsidR="003E145D" w:rsidRPr="003E145D">
        <w:t xml:space="preserve"> </w:t>
      </w:r>
      <w:r w:rsidR="003E145D" w:rsidRPr="002A645F">
        <w:t xml:space="preserve">and </w:t>
      </w:r>
      <w:r w:rsidR="003E145D">
        <w:t xml:space="preserve">Persons Defined as </w:t>
      </w:r>
      <w:r w:rsidR="003E145D" w:rsidRPr="002A645F">
        <w:t>Needing Intervention</w:t>
      </w:r>
    </w:p>
    <w:p w14:paraId="727C502F" w14:textId="3718CDEE" w:rsidR="003106CF" w:rsidRPr="00151752" w:rsidRDefault="003174F0" w:rsidP="00447668">
      <w:pPr>
        <w:pStyle w:val="text1"/>
        <w:rPr>
          <w:lang w:eastAsia="he-IL"/>
        </w:rPr>
      </w:pPr>
      <w:r>
        <w:rPr>
          <w:lang w:eastAsia="he-IL"/>
        </w:rPr>
        <w:t>In 20</w:t>
      </w:r>
      <w:r w:rsidR="00BF5A0D">
        <w:rPr>
          <w:rFonts w:hint="cs"/>
          <w:rtl/>
          <w:lang w:eastAsia="he-IL"/>
        </w:rPr>
        <w:t>20</w:t>
      </w:r>
      <w:r>
        <w:rPr>
          <w:lang w:eastAsia="he-IL"/>
        </w:rPr>
        <w:t>, about 1</w:t>
      </w:r>
      <w:r w:rsidR="00BF5A0D">
        <w:rPr>
          <w:rFonts w:hint="cs"/>
          <w:rtl/>
          <w:lang w:eastAsia="he-IL"/>
        </w:rPr>
        <w:t>7</w:t>
      </w:r>
      <w:r>
        <w:rPr>
          <w:lang w:eastAsia="he-IL"/>
        </w:rPr>
        <w:t>,</w:t>
      </w:r>
      <w:r w:rsidR="00BF5A0D">
        <w:rPr>
          <w:rFonts w:hint="cs"/>
          <w:rtl/>
          <w:lang w:eastAsia="he-IL"/>
        </w:rPr>
        <w:t>5</w:t>
      </w:r>
      <w:r>
        <w:rPr>
          <w:lang w:eastAsia="he-IL"/>
        </w:rPr>
        <w:t xml:space="preserve">00 Christians – </w:t>
      </w:r>
      <w:r w:rsidR="00220E5D" w:rsidRPr="00151752">
        <w:rPr>
          <w:lang w:eastAsia="he-IL"/>
        </w:rPr>
        <w:t>about</w:t>
      </w:r>
      <w:r w:rsidRPr="00151752">
        <w:rPr>
          <w:lang w:eastAsia="he-IL"/>
        </w:rPr>
        <w:t xml:space="preserve"> </w:t>
      </w:r>
      <w:r w:rsidR="00BF5A0D">
        <w:rPr>
          <w:rFonts w:hint="cs"/>
          <w:rtl/>
          <w:lang w:eastAsia="he-IL"/>
        </w:rPr>
        <w:t>98</w:t>
      </w:r>
      <w:r w:rsidRPr="00151752">
        <w:rPr>
          <w:lang w:eastAsia="he-IL"/>
        </w:rPr>
        <w:t xml:space="preserve"> per 1,000 persons – were registered</w:t>
      </w:r>
      <w:r w:rsidRPr="00151752">
        <w:rPr>
          <w:rStyle w:val="FootnoteReference"/>
          <w:lang w:eastAsia="he-IL"/>
        </w:rPr>
        <w:footnoteReference w:id="14"/>
      </w:r>
      <w:r w:rsidR="0069497A">
        <w:rPr>
          <w:lang w:eastAsia="he-IL"/>
        </w:rPr>
        <w:t xml:space="preserve"> at the Ministry of </w:t>
      </w:r>
      <w:r w:rsidR="00447668">
        <w:rPr>
          <w:lang w:eastAsia="he-IL"/>
        </w:rPr>
        <w:t>Welfare and</w:t>
      </w:r>
      <w:r w:rsidRPr="00151752">
        <w:rPr>
          <w:lang w:eastAsia="he-IL"/>
        </w:rPr>
        <w:t xml:space="preserve"> </w:t>
      </w:r>
      <w:r w:rsidR="0069497A">
        <w:rPr>
          <w:lang w:eastAsia="he-IL"/>
        </w:rPr>
        <w:t>Social Affairs</w:t>
      </w:r>
      <w:r w:rsidRPr="00151752">
        <w:rPr>
          <w:lang w:eastAsia="he-IL"/>
        </w:rPr>
        <w:t>.</w:t>
      </w:r>
      <w:r w:rsidR="003E2457" w:rsidRPr="00151752">
        <w:rPr>
          <w:lang w:eastAsia="he-IL"/>
        </w:rPr>
        <w:t xml:space="preserve"> </w:t>
      </w:r>
      <w:r w:rsidR="00A47DED" w:rsidRPr="00151752">
        <w:rPr>
          <w:lang w:eastAsia="he-IL"/>
        </w:rPr>
        <w:t xml:space="preserve">The rate of persons registered among the Christians </w:t>
      </w:r>
      <w:r w:rsidR="00F82480">
        <w:rPr>
          <w:lang w:eastAsia="he-IL"/>
        </w:rPr>
        <w:t>wa</w:t>
      </w:r>
      <w:r w:rsidR="00A47DED" w:rsidRPr="00151752">
        <w:rPr>
          <w:lang w:eastAsia="he-IL"/>
        </w:rPr>
        <w:t>s lower than among Moslems (</w:t>
      </w:r>
      <w:r w:rsidR="00220E5D" w:rsidRPr="00151752">
        <w:rPr>
          <w:lang w:eastAsia="he-IL"/>
        </w:rPr>
        <w:t>about</w:t>
      </w:r>
      <w:r w:rsidR="00A47DED" w:rsidRPr="00151752">
        <w:rPr>
          <w:lang w:eastAsia="he-IL"/>
        </w:rPr>
        <w:t xml:space="preserve"> 18</w:t>
      </w:r>
      <w:r w:rsidR="00BF5A0D">
        <w:rPr>
          <w:rFonts w:hint="cs"/>
          <w:rtl/>
          <w:lang w:eastAsia="he-IL"/>
        </w:rPr>
        <w:t>3</w:t>
      </w:r>
      <w:r w:rsidR="00A47DED" w:rsidRPr="00151752">
        <w:rPr>
          <w:lang w:eastAsia="he-IL"/>
        </w:rPr>
        <w:t xml:space="preserve"> per 1,000 persons) and Jews (10</w:t>
      </w:r>
      <w:r w:rsidR="00BF5A0D">
        <w:rPr>
          <w:rFonts w:hint="cs"/>
          <w:rtl/>
          <w:lang w:eastAsia="he-IL"/>
        </w:rPr>
        <w:t>7</w:t>
      </w:r>
      <w:r w:rsidR="00A47DED" w:rsidRPr="00151752">
        <w:rPr>
          <w:lang w:eastAsia="he-IL"/>
        </w:rPr>
        <w:t xml:space="preserve"> per 1,000 persons).</w:t>
      </w:r>
    </w:p>
    <w:p w14:paraId="261D1283" w14:textId="3B6AF74F" w:rsidR="007030F2" w:rsidRPr="00151752" w:rsidRDefault="007030F2" w:rsidP="00F82480">
      <w:pPr>
        <w:pStyle w:val="text1"/>
        <w:rPr>
          <w:lang w:eastAsia="he-IL"/>
        </w:rPr>
      </w:pPr>
      <w:r w:rsidRPr="00151752">
        <w:rPr>
          <w:lang w:eastAsia="he-IL"/>
        </w:rPr>
        <w:t xml:space="preserve">Of the Christians who </w:t>
      </w:r>
      <w:r w:rsidR="00F82480">
        <w:rPr>
          <w:lang w:eastAsia="he-IL"/>
        </w:rPr>
        <w:t>we</w:t>
      </w:r>
      <w:r w:rsidRPr="00151752">
        <w:rPr>
          <w:lang w:eastAsia="he-IL"/>
        </w:rPr>
        <w:t xml:space="preserve">re registered, about 57% </w:t>
      </w:r>
      <w:r w:rsidR="00F82480">
        <w:rPr>
          <w:lang w:eastAsia="he-IL"/>
        </w:rPr>
        <w:t>we</w:t>
      </w:r>
      <w:r w:rsidRPr="00151752">
        <w:rPr>
          <w:lang w:eastAsia="he-IL"/>
        </w:rPr>
        <w:t xml:space="preserve">re women and about 43% </w:t>
      </w:r>
      <w:r w:rsidR="00F82480">
        <w:rPr>
          <w:lang w:eastAsia="he-IL"/>
        </w:rPr>
        <w:t>we</w:t>
      </w:r>
      <w:r w:rsidRPr="00151752">
        <w:rPr>
          <w:lang w:eastAsia="he-IL"/>
        </w:rPr>
        <w:t xml:space="preserve">re men. </w:t>
      </w:r>
      <w:r w:rsidR="00220E5D" w:rsidRPr="00151752">
        <w:rPr>
          <w:lang w:eastAsia="he-IL"/>
        </w:rPr>
        <w:t>About</w:t>
      </w:r>
      <w:r w:rsidRPr="00151752">
        <w:rPr>
          <w:lang w:eastAsia="he-IL"/>
        </w:rPr>
        <w:t xml:space="preserve"> half of those registered (about 49%) </w:t>
      </w:r>
      <w:r w:rsidR="00F82480">
        <w:rPr>
          <w:lang w:eastAsia="he-IL"/>
        </w:rPr>
        <w:t>we</w:t>
      </w:r>
      <w:r w:rsidRPr="00151752">
        <w:rPr>
          <w:lang w:eastAsia="he-IL"/>
        </w:rPr>
        <w:t xml:space="preserve">re married, about 30% </w:t>
      </w:r>
      <w:r w:rsidR="00F82480" w:rsidRPr="00151752">
        <w:rPr>
          <w:lang w:eastAsia="he-IL"/>
        </w:rPr>
        <w:t>ha</w:t>
      </w:r>
      <w:r w:rsidR="00F82480">
        <w:rPr>
          <w:lang w:eastAsia="he-IL"/>
        </w:rPr>
        <w:t>d</w:t>
      </w:r>
      <w:r w:rsidR="00F82480" w:rsidRPr="00151752">
        <w:rPr>
          <w:lang w:eastAsia="he-IL"/>
        </w:rPr>
        <w:t xml:space="preserve"> </w:t>
      </w:r>
      <w:r w:rsidRPr="00151752">
        <w:rPr>
          <w:lang w:eastAsia="he-IL"/>
        </w:rPr>
        <w:t xml:space="preserve">never been married, </w:t>
      </w:r>
      <w:r w:rsidR="002135A5" w:rsidRPr="00151752">
        <w:rPr>
          <w:lang w:eastAsia="he-IL"/>
        </w:rPr>
        <w:t xml:space="preserve">and </w:t>
      </w:r>
      <w:r w:rsidR="009C23DB" w:rsidRPr="00151752">
        <w:rPr>
          <w:lang w:eastAsia="he-IL"/>
        </w:rPr>
        <w:t xml:space="preserve">the rest </w:t>
      </w:r>
      <w:r w:rsidR="00F82480">
        <w:rPr>
          <w:lang w:eastAsia="he-IL"/>
        </w:rPr>
        <w:t>we</w:t>
      </w:r>
      <w:r w:rsidR="009C23DB" w:rsidRPr="00151752">
        <w:rPr>
          <w:lang w:eastAsia="he-IL"/>
        </w:rPr>
        <w:t>re widowed (about 15%) or divorced (about 6%).</w:t>
      </w:r>
    </w:p>
    <w:p w14:paraId="445BF3BF" w14:textId="383D0EED" w:rsidR="002B5437" w:rsidRDefault="00220E5D" w:rsidP="00BF5A0D">
      <w:pPr>
        <w:pStyle w:val="text1"/>
        <w:rPr>
          <w:lang w:eastAsia="he-IL"/>
        </w:rPr>
      </w:pPr>
      <w:r w:rsidRPr="00151752">
        <w:rPr>
          <w:lang w:eastAsia="he-IL"/>
        </w:rPr>
        <w:t>About</w:t>
      </w:r>
      <w:r w:rsidR="002B5437" w:rsidRPr="00151752">
        <w:rPr>
          <w:lang w:eastAsia="he-IL"/>
        </w:rPr>
        <w:t xml:space="preserve"> 81% of the Christians who </w:t>
      </w:r>
      <w:r w:rsidR="00F82480">
        <w:rPr>
          <w:lang w:eastAsia="he-IL"/>
        </w:rPr>
        <w:t>we</w:t>
      </w:r>
      <w:r w:rsidR="002B5437" w:rsidRPr="00151752">
        <w:rPr>
          <w:lang w:eastAsia="he-IL"/>
        </w:rPr>
        <w:t>re registered (about 14,</w:t>
      </w:r>
      <w:r w:rsidR="00BF5A0D">
        <w:rPr>
          <w:lang w:eastAsia="he-IL"/>
        </w:rPr>
        <w:t>1</w:t>
      </w:r>
      <w:r w:rsidR="002B5437" w:rsidRPr="00151752">
        <w:rPr>
          <w:lang w:eastAsia="he-IL"/>
        </w:rPr>
        <w:t xml:space="preserve">00) </w:t>
      </w:r>
      <w:r w:rsidR="00F82480">
        <w:rPr>
          <w:lang w:eastAsia="he-IL"/>
        </w:rPr>
        <w:t>we</w:t>
      </w:r>
      <w:r w:rsidR="00325689" w:rsidRPr="00151752">
        <w:rPr>
          <w:lang w:eastAsia="he-IL"/>
        </w:rPr>
        <w:t>re defined as needing intervention.</w:t>
      </w:r>
      <w:r w:rsidR="00C84CAD" w:rsidRPr="00151752">
        <w:rPr>
          <w:rStyle w:val="FootnoteReference"/>
          <w:lang w:eastAsia="he-IL"/>
        </w:rPr>
        <w:footnoteReference w:id="15"/>
      </w:r>
      <w:r w:rsidR="00325689" w:rsidRPr="00151752">
        <w:rPr>
          <w:lang w:eastAsia="he-IL"/>
        </w:rPr>
        <w:t xml:space="preserve"> </w:t>
      </w:r>
      <w:r w:rsidR="00F82480" w:rsidRPr="00151752">
        <w:rPr>
          <w:lang w:eastAsia="he-IL"/>
        </w:rPr>
        <w:t>Th</w:t>
      </w:r>
      <w:r w:rsidR="00F82480">
        <w:rPr>
          <w:lang w:eastAsia="he-IL"/>
        </w:rPr>
        <w:t>is</w:t>
      </w:r>
      <w:r w:rsidR="00F82480" w:rsidRPr="00151752">
        <w:rPr>
          <w:lang w:eastAsia="he-IL"/>
        </w:rPr>
        <w:t xml:space="preserve"> </w:t>
      </w:r>
      <w:r w:rsidR="00320F68" w:rsidRPr="00151752">
        <w:rPr>
          <w:lang w:eastAsia="he-IL"/>
        </w:rPr>
        <w:t xml:space="preserve">rate is about </w:t>
      </w:r>
      <w:r w:rsidR="00BF5A0D">
        <w:rPr>
          <w:lang w:eastAsia="he-IL"/>
        </w:rPr>
        <w:t>79</w:t>
      </w:r>
      <w:r w:rsidR="00320F68" w:rsidRPr="00151752">
        <w:rPr>
          <w:lang w:eastAsia="he-IL"/>
        </w:rPr>
        <w:t xml:space="preserve"> per 1,000 pe</w:t>
      </w:r>
      <w:r w:rsidR="00320F68">
        <w:rPr>
          <w:lang w:eastAsia="he-IL"/>
        </w:rPr>
        <w:t xml:space="preserve">rsons. Like the rate of registered persons, the </w:t>
      </w:r>
      <w:r w:rsidR="003015E8">
        <w:rPr>
          <w:lang w:eastAsia="he-IL"/>
        </w:rPr>
        <w:t xml:space="preserve">rate of persons </w:t>
      </w:r>
      <w:r w:rsidR="00833F0C">
        <w:rPr>
          <w:lang w:eastAsia="he-IL"/>
        </w:rPr>
        <w:t xml:space="preserve">defined as </w:t>
      </w:r>
      <w:r w:rsidR="003015E8">
        <w:rPr>
          <w:lang w:eastAsia="he-IL"/>
        </w:rPr>
        <w:t xml:space="preserve">needing intervention </w:t>
      </w:r>
      <w:r w:rsidR="00516B07">
        <w:rPr>
          <w:lang w:eastAsia="he-IL"/>
        </w:rPr>
        <w:t xml:space="preserve">among the Christian population was lower than </w:t>
      </w:r>
      <w:r w:rsidR="001610A6">
        <w:rPr>
          <w:lang w:eastAsia="he-IL"/>
        </w:rPr>
        <w:t xml:space="preserve">among </w:t>
      </w:r>
      <w:r w:rsidR="00F30384">
        <w:rPr>
          <w:rFonts w:hint="cs"/>
          <w:lang w:eastAsia="he-IL"/>
        </w:rPr>
        <w:t>M</w:t>
      </w:r>
      <w:r w:rsidR="00F30384">
        <w:rPr>
          <w:lang w:eastAsia="he-IL"/>
        </w:rPr>
        <w:t>oslems</w:t>
      </w:r>
      <w:r w:rsidR="001610A6">
        <w:rPr>
          <w:lang w:eastAsia="he-IL"/>
        </w:rPr>
        <w:t xml:space="preserve"> (12</w:t>
      </w:r>
      <w:r w:rsidR="00BF5A0D">
        <w:rPr>
          <w:lang w:eastAsia="he-IL"/>
        </w:rPr>
        <w:t>5</w:t>
      </w:r>
      <w:r w:rsidR="001610A6">
        <w:rPr>
          <w:lang w:eastAsia="he-IL"/>
        </w:rPr>
        <w:t xml:space="preserve"> per 1,000 persons) and Jews (about </w:t>
      </w:r>
      <w:r w:rsidR="00BF5A0D">
        <w:rPr>
          <w:lang w:eastAsia="he-IL"/>
        </w:rPr>
        <w:t>70</w:t>
      </w:r>
      <w:r w:rsidR="001610A6">
        <w:rPr>
          <w:lang w:eastAsia="he-IL"/>
        </w:rPr>
        <w:t xml:space="preserve"> per 1,000 persons).</w:t>
      </w:r>
    </w:p>
    <w:p w14:paraId="16A2BD28" w14:textId="2B08A646" w:rsidR="002F3391" w:rsidRDefault="00AE70E0" w:rsidP="00E11D15">
      <w:pPr>
        <w:pStyle w:val="text1"/>
      </w:pPr>
      <w:r>
        <w:rPr>
          <w:lang w:eastAsia="he-IL"/>
        </w:rPr>
        <w:t xml:space="preserve">The most prevalent type of intervention </w:t>
      </w:r>
      <w:r w:rsidR="000434C2">
        <w:rPr>
          <w:lang w:eastAsia="he-IL"/>
        </w:rPr>
        <w:t xml:space="preserve">among Christians who were defined as needing </w:t>
      </w:r>
      <w:r w:rsidR="000434C2" w:rsidRPr="00E11D15">
        <w:rPr>
          <w:lang w:eastAsia="he-IL"/>
        </w:rPr>
        <w:t xml:space="preserve">intervention was </w:t>
      </w:r>
      <w:r w:rsidR="006D73CE" w:rsidRPr="00E11D15">
        <w:t>dysfunctional parents and/or children/adolescents</w:t>
      </w:r>
      <w:r w:rsidR="006D73CE" w:rsidRPr="00E11D15">
        <w:rPr>
          <w:rStyle w:val="FootnoteReference"/>
        </w:rPr>
        <w:footnoteReference w:id="16"/>
      </w:r>
      <w:r w:rsidR="006D73CE" w:rsidRPr="00E11D15">
        <w:t xml:space="preserve"> (about 3</w:t>
      </w:r>
      <w:r w:rsidR="00BF5A0D" w:rsidRPr="00E11D15">
        <w:t>0</w:t>
      </w:r>
      <w:r w:rsidR="006D73CE" w:rsidRPr="00E11D15">
        <w:t>%).</w:t>
      </w:r>
      <w:r w:rsidR="00C968F6" w:rsidRPr="00E11D15">
        <w:t xml:space="preserve"> </w:t>
      </w:r>
      <w:r w:rsidR="00E11D15" w:rsidRPr="00E11D15">
        <w:t>The next most prevalent types of intervention needed were geriatric, medical reasons and disability (about 22% for each one of them).</w:t>
      </w:r>
      <w:r w:rsidR="001A1F3C" w:rsidRPr="00E11D15">
        <w:t>The least prevalent type of intervention</w:t>
      </w:r>
      <w:r w:rsidR="00F82480" w:rsidRPr="00E11D15">
        <w:t xml:space="preserve"> needed</w:t>
      </w:r>
      <w:r w:rsidR="001A1F3C" w:rsidRPr="00E11D15">
        <w:t xml:space="preserve"> was addiction and</w:t>
      </w:r>
      <w:r w:rsidR="001A1F3C">
        <w:t xml:space="preserve"> delinquency (about 2.3%).</w:t>
      </w:r>
    </w:p>
    <w:p w14:paraId="05DF9371" w14:textId="77777777" w:rsidR="002F3391" w:rsidRDefault="002F3391">
      <w:pPr>
        <w:bidi w:val="0"/>
        <w:rPr>
          <w:rFonts w:ascii="Arial" w:hAnsi="Arial" w:cs="Arial"/>
          <w:b w:val="0"/>
          <w:bCs w:val="0"/>
          <w:szCs w:val="24"/>
          <w:lang w:eastAsia="en-US"/>
        </w:rPr>
      </w:pPr>
      <w:r>
        <w:br w:type="page"/>
      </w:r>
    </w:p>
    <w:p w14:paraId="7C3F680B" w14:textId="47412E76" w:rsidR="006037AF" w:rsidRDefault="006037AF" w:rsidP="00447668">
      <w:pPr>
        <w:pStyle w:val="Heading3"/>
        <w:rPr>
          <w:rFonts w:asciiTheme="minorBidi" w:eastAsiaTheme="minorHAnsi" w:hAnsiTheme="minorBidi" w:cstheme="minorBidi"/>
        </w:rPr>
      </w:pPr>
      <w:r>
        <w:t xml:space="preserve">Recipients of </w:t>
      </w:r>
      <w:r w:rsidR="0069497A">
        <w:t>Social</w:t>
      </w:r>
      <w:r>
        <w:t xml:space="preserve"> Services in Community and Out-of-Home Frameworks of the </w:t>
      </w:r>
      <w:r w:rsidRPr="00EB35FD">
        <w:rPr>
          <w:rFonts w:asciiTheme="minorBidi" w:eastAsiaTheme="minorHAnsi" w:hAnsiTheme="minorBidi" w:cstheme="minorBidi"/>
        </w:rPr>
        <w:t xml:space="preserve">Ministry </w:t>
      </w:r>
      <w:r w:rsidR="00447668">
        <w:t>Welfare and</w:t>
      </w:r>
      <w:r w:rsidR="00447668" w:rsidRPr="00151752">
        <w:t xml:space="preserve"> </w:t>
      </w:r>
      <w:r w:rsidR="00447668">
        <w:t>Social Affairs</w:t>
      </w:r>
      <w:r w:rsidR="00447668">
        <w:rPr>
          <w:rStyle w:val="FootnoteReference"/>
          <w:rFonts w:asciiTheme="minorBidi" w:eastAsiaTheme="minorHAnsi" w:hAnsiTheme="minorBidi"/>
        </w:rPr>
        <w:t xml:space="preserve"> </w:t>
      </w:r>
      <w:r>
        <w:rPr>
          <w:rStyle w:val="FootnoteReference"/>
          <w:rFonts w:asciiTheme="minorBidi" w:eastAsiaTheme="minorHAnsi" w:hAnsiTheme="minorBidi"/>
        </w:rPr>
        <w:footnoteReference w:id="17"/>
      </w:r>
    </w:p>
    <w:p w14:paraId="278756E6" w14:textId="3B244B58" w:rsidR="006037AF" w:rsidRDefault="002472FA" w:rsidP="005E21B7">
      <w:pPr>
        <w:pStyle w:val="text1"/>
        <w:rPr>
          <w:lang w:eastAsia="he-IL"/>
        </w:rPr>
      </w:pPr>
      <w:r>
        <w:rPr>
          <w:lang w:eastAsia="he-IL"/>
        </w:rPr>
        <w:t>In 20</w:t>
      </w:r>
      <w:r w:rsidR="005E21B7">
        <w:rPr>
          <w:lang w:eastAsia="he-IL"/>
        </w:rPr>
        <w:t>20</w:t>
      </w:r>
      <w:r>
        <w:rPr>
          <w:lang w:eastAsia="he-IL"/>
        </w:rPr>
        <w:t>, about 3,</w:t>
      </w:r>
      <w:r w:rsidR="005E21B7">
        <w:rPr>
          <w:lang w:eastAsia="he-IL"/>
        </w:rPr>
        <w:t>5</w:t>
      </w:r>
      <w:r>
        <w:rPr>
          <w:lang w:eastAsia="he-IL"/>
        </w:rPr>
        <w:t>00 Christians – a rate of about 2</w:t>
      </w:r>
      <w:r w:rsidR="005E21B7">
        <w:rPr>
          <w:lang w:eastAsia="he-IL"/>
        </w:rPr>
        <w:t>0</w:t>
      </w:r>
      <w:r>
        <w:rPr>
          <w:lang w:eastAsia="he-IL"/>
        </w:rPr>
        <w:t xml:space="preserve"> per 1,000 persons – were placed in </w:t>
      </w:r>
      <w:r w:rsidR="0069497A">
        <w:rPr>
          <w:lang w:eastAsia="he-IL"/>
        </w:rPr>
        <w:t>social service</w:t>
      </w:r>
      <w:r w:rsidR="00665944">
        <w:rPr>
          <w:lang w:eastAsia="he-IL"/>
        </w:rPr>
        <w:t xml:space="preserve"> </w:t>
      </w:r>
      <w:r w:rsidR="00D87533">
        <w:rPr>
          <w:lang w:eastAsia="he-IL"/>
        </w:rPr>
        <w:t>frameworks</w:t>
      </w:r>
      <w:r w:rsidR="00665944">
        <w:rPr>
          <w:lang w:eastAsia="he-IL"/>
        </w:rPr>
        <w:t xml:space="preserve">. </w:t>
      </w:r>
      <w:r w:rsidR="008865C9">
        <w:rPr>
          <w:lang w:eastAsia="he-IL"/>
        </w:rPr>
        <w:t xml:space="preserve">This rate is </w:t>
      </w:r>
      <w:r w:rsidR="00CC1FAE">
        <w:rPr>
          <w:lang w:eastAsia="he-IL"/>
        </w:rPr>
        <w:t>lower than the rate among Moslems (about 3</w:t>
      </w:r>
      <w:r w:rsidR="005E21B7">
        <w:rPr>
          <w:lang w:eastAsia="he-IL"/>
        </w:rPr>
        <w:t>2</w:t>
      </w:r>
      <w:r w:rsidR="00CC1FAE">
        <w:rPr>
          <w:lang w:eastAsia="he-IL"/>
        </w:rPr>
        <w:t xml:space="preserve"> per 1,000 persons) and Jews (about 2</w:t>
      </w:r>
      <w:r w:rsidR="005E21B7">
        <w:rPr>
          <w:lang w:eastAsia="he-IL"/>
        </w:rPr>
        <w:t>8</w:t>
      </w:r>
      <w:r w:rsidR="00CC1FAE">
        <w:rPr>
          <w:lang w:eastAsia="he-IL"/>
        </w:rPr>
        <w:t xml:space="preserve"> per 1,000 persons).</w:t>
      </w:r>
    </w:p>
    <w:p w14:paraId="0E1D746C" w14:textId="49DEB61C" w:rsidR="00D87533" w:rsidRDefault="007B4215" w:rsidP="005E21B7">
      <w:pPr>
        <w:pStyle w:val="text1"/>
        <w:rPr>
          <w:lang w:eastAsia="he-IL"/>
        </w:rPr>
      </w:pPr>
      <w:r>
        <w:rPr>
          <w:lang w:eastAsia="he-IL"/>
        </w:rPr>
        <w:t>Most o</w:t>
      </w:r>
      <w:r w:rsidR="002435F4">
        <w:rPr>
          <w:lang w:eastAsia="he-IL"/>
        </w:rPr>
        <w:t>f the Christians who</w:t>
      </w:r>
      <w:r>
        <w:rPr>
          <w:lang w:eastAsia="he-IL"/>
        </w:rPr>
        <w:t xml:space="preserve"> were placed in </w:t>
      </w:r>
      <w:r w:rsidR="0069497A">
        <w:rPr>
          <w:lang w:eastAsia="he-IL"/>
        </w:rPr>
        <w:t>social service</w:t>
      </w:r>
      <w:r>
        <w:rPr>
          <w:lang w:eastAsia="he-IL"/>
        </w:rPr>
        <w:t xml:space="preserve"> frameworks (about 8</w:t>
      </w:r>
      <w:r w:rsidR="005E21B7">
        <w:rPr>
          <w:lang w:eastAsia="he-IL"/>
        </w:rPr>
        <w:t>4</w:t>
      </w:r>
      <w:r w:rsidRPr="00F82480">
        <w:rPr>
          <w:lang w:eastAsia="he-IL"/>
        </w:rPr>
        <w:t>%</w:t>
      </w:r>
      <w:r w:rsidR="008B0922" w:rsidRPr="00F82480">
        <w:rPr>
          <w:lang w:eastAsia="he-IL"/>
        </w:rPr>
        <w:t xml:space="preserve">, </w:t>
      </w:r>
      <w:r w:rsidR="00220E5D" w:rsidRPr="00F82480">
        <w:rPr>
          <w:lang w:eastAsia="he-IL"/>
        </w:rPr>
        <w:t>about</w:t>
      </w:r>
      <w:r w:rsidR="008B0922" w:rsidRPr="00F82480">
        <w:rPr>
          <w:lang w:eastAsia="he-IL"/>
        </w:rPr>
        <w:t xml:space="preserve"> 1</w:t>
      </w:r>
      <w:r w:rsidR="005E21B7">
        <w:rPr>
          <w:lang w:eastAsia="he-IL"/>
        </w:rPr>
        <w:t>7</w:t>
      </w:r>
      <w:r w:rsidR="008B0922" w:rsidRPr="00F82480">
        <w:rPr>
          <w:lang w:eastAsia="he-IL"/>
        </w:rPr>
        <w:t xml:space="preserve"> per 1,000 persons</w:t>
      </w:r>
      <w:r w:rsidRPr="00F82480">
        <w:rPr>
          <w:lang w:eastAsia="he-IL"/>
        </w:rPr>
        <w:t xml:space="preserve">) were placed in </w:t>
      </w:r>
      <w:r w:rsidR="008B0922" w:rsidRPr="00F82480">
        <w:rPr>
          <w:lang w:eastAsia="he-IL"/>
        </w:rPr>
        <w:t>community framework</w:t>
      </w:r>
      <w:r w:rsidR="00CD35E9" w:rsidRPr="00F82480">
        <w:rPr>
          <w:lang w:eastAsia="he-IL"/>
        </w:rPr>
        <w:t>s only.</w:t>
      </w:r>
      <w:r w:rsidR="00694871" w:rsidRPr="00F82480">
        <w:rPr>
          <w:rStyle w:val="FootnoteReference"/>
          <w:lang w:eastAsia="he-IL"/>
        </w:rPr>
        <w:footnoteReference w:id="18"/>
      </w:r>
      <w:r w:rsidR="008D2E84" w:rsidRPr="00F82480">
        <w:rPr>
          <w:lang w:eastAsia="he-IL"/>
        </w:rPr>
        <w:t xml:space="preserve"> In contrast, </w:t>
      </w:r>
      <w:r w:rsidR="006C6FE4" w:rsidRPr="00F82480">
        <w:rPr>
          <w:lang w:eastAsia="he-IL"/>
        </w:rPr>
        <w:t xml:space="preserve">about 12% </w:t>
      </w:r>
      <w:r w:rsidR="008344DD" w:rsidRPr="00F82480">
        <w:rPr>
          <w:lang w:eastAsia="he-IL"/>
        </w:rPr>
        <w:t>(</w:t>
      </w:r>
      <w:r w:rsidR="00220E5D" w:rsidRPr="00F82480">
        <w:rPr>
          <w:lang w:eastAsia="he-IL"/>
        </w:rPr>
        <w:t>about</w:t>
      </w:r>
      <w:r w:rsidR="008344DD" w:rsidRPr="00F82480">
        <w:rPr>
          <w:lang w:eastAsia="he-IL"/>
        </w:rPr>
        <w:t xml:space="preserve"> 2.</w:t>
      </w:r>
      <w:r w:rsidR="005E21B7">
        <w:rPr>
          <w:lang w:eastAsia="he-IL"/>
        </w:rPr>
        <w:t>3</w:t>
      </w:r>
      <w:r w:rsidR="008344DD" w:rsidRPr="00F82480">
        <w:rPr>
          <w:lang w:eastAsia="he-IL"/>
        </w:rPr>
        <w:t xml:space="preserve"> per 1,000 persons) </w:t>
      </w:r>
      <w:r w:rsidR="006C6FE4" w:rsidRPr="00F82480">
        <w:rPr>
          <w:lang w:eastAsia="he-IL"/>
        </w:rPr>
        <w:t>were placed in out-of-home framework</w:t>
      </w:r>
      <w:r w:rsidR="00CD35E9" w:rsidRPr="00F82480">
        <w:rPr>
          <w:lang w:eastAsia="he-IL"/>
        </w:rPr>
        <w:t>s only,</w:t>
      </w:r>
      <w:r w:rsidR="006C6FE4" w:rsidRPr="00F82480">
        <w:rPr>
          <w:rStyle w:val="FootnoteReference"/>
          <w:lang w:eastAsia="he-IL"/>
        </w:rPr>
        <w:footnoteReference w:id="19"/>
      </w:r>
      <w:r w:rsidR="003340AB" w:rsidRPr="00F82480">
        <w:rPr>
          <w:lang w:eastAsia="he-IL"/>
        </w:rPr>
        <w:t xml:space="preserve"> and about </w:t>
      </w:r>
      <w:r w:rsidR="005E21B7">
        <w:rPr>
          <w:lang w:eastAsia="he-IL"/>
        </w:rPr>
        <w:t>4</w:t>
      </w:r>
      <w:r w:rsidR="003340AB" w:rsidRPr="00F82480">
        <w:rPr>
          <w:lang w:eastAsia="he-IL"/>
        </w:rPr>
        <w:t>% (</w:t>
      </w:r>
      <w:r w:rsidR="00220E5D" w:rsidRPr="00F82480">
        <w:rPr>
          <w:lang w:eastAsia="he-IL"/>
        </w:rPr>
        <w:t>about</w:t>
      </w:r>
      <w:r w:rsidR="003340AB" w:rsidRPr="00F82480">
        <w:rPr>
          <w:lang w:eastAsia="he-IL"/>
        </w:rPr>
        <w:t xml:space="preserve"> 0.</w:t>
      </w:r>
      <w:r w:rsidR="005E21B7">
        <w:rPr>
          <w:lang w:eastAsia="he-IL"/>
        </w:rPr>
        <w:t>8</w:t>
      </w:r>
      <w:r w:rsidR="003340AB">
        <w:rPr>
          <w:lang w:eastAsia="he-IL"/>
        </w:rPr>
        <w:t xml:space="preserve"> per 1,000 persons) were placed in </w:t>
      </w:r>
      <w:r w:rsidR="007B68D4">
        <w:rPr>
          <w:lang w:eastAsia="he-IL"/>
        </w:rPr>
        <w:t xml:space="preserve">both </w:t>
      </w:r>
      <w:r w:rsidR="003340AB">
        <w:rPr>
          <w:lang w:eastAsia="he-IL"/>
        </w:rPr>
        <w:t>community frameworks</w:t>
      </w:r>
      <w:r w:rsidR="001D6DDD">
        <w:rPr>
          <w:lang w:eastAsia="he-IL"/>
        </w:rPr>
        <w:t xml:space="preserve"> and out-of-home frameworks.</w:t>
      </w:r>
      <w:r w:rsidR="00537292">
        <w:rPr>
          <w:lang w:eastAsia="he-IL"/>
        </w:rPr>
        <w:t xml:space="preserve"> This breakdown is different from </w:t>
      </w:r>
      <w:r w:rsidR="00DA7967">
        <w:rPr>
          <w:lang w:eastAsia="he-IL"/>
        </w:rPr>
        <w:t>the breakdown</w:t>
      </w:r>
      <w:r w:rsidR="002513D3">
        <w:rPr>
          <w:lang w:eastAsia="he-IL"/>
        </w:rPr>
        <w:t>s</w:t>
      </w:r>
      <w:r w:rsidR="00537292">
        <w:rPr>
          <w:lang w:eastAsia="he-IL"/>
        </w:rPr>
        <w:t xml:space="preserve"> of Jews and Moslems who were placed in </w:t>
      </w:r>
      <w:r w:rsidR="0069497A">
        <w:rPr>
          <w:lang w:eastAsia="he-IL"/>
        </w:rPr>
        <w:t>social service</w:t>
      </w:r>
      <w:r w:rsidR="007F7415">
        <w:rPr>
          <w:lang w:eastAsia="he-IL"/>
        </w:rPr>
        <w:t xml:space="preserve"> settings (see Diagram </w:t>
      </w:r>
      <w:r w:rsidR="005E21B7">
        <w:rPr>
          <w:lang w:eastAsia="he-IL"/>
        </w:rPr>
        <w:t>9</w:t>
      </w:r>
      <w:r w:rsidR="007F7415">
        <w:rPr>
          <w:lang w:eastAsia="he-IL"/>
        </w:rPr>
        <w:t>).</w:t>
      </w:r>
    </w:p>
    <w:p w14:paraId="1B0815EC" w14:textId="716EDAAC" w:rsidR="00580618" w:rsidRDefault="00580618" w:rsidP="00447668">
      <w:pPr>
        <w:pStyle w:val="diagramheading"/>
        <w:keepNext/>
        <w:spacing w:after="40" w:line="240" w:lineRule="auto"/>
      </w:pPr>
      <w:r w:rsidRPr="00533734">
        <w:rPr>
          <w:spacing w:val="-4"/>
        </w:rPr>
        <w:t xml:space="preserve">Diagram </w:t>
      </w:r>
      <w:r w:rsidR="005E21B7" w:rsidRPr="00533734">
        <w:rPr>
          <w:spacing w:val="-4"/>
        </w:rPr>
        <w:t>9</w:t>
      </w:r>
      <w:r w:rsidR="009A5B5D" w:rsidRPr="00533734">
        <w:rPr>
          <w:spacing w:val="-4"/>
        </w:rPr>
        <w:t xml:space="preserve"> -</w:t>
      </w:r>
      <w:r w:rsidRPr="00533734">
        <w:rPr>
          <w:spacing w:val="-4"/>
        </w:rPr>
        <w:t xml:space="preserve"> Persons Placed in </w:t>
      </w:r>
      <w:r w:rsidR="0069497A" w:rsidRPr="00533734">
        <w:rPr>
          <w:spacing w:val="-4"/>
        </w:rPr>
        <w:t>Social Service</w:t>
      </w:r>
      <w:r w:rsidRPr="00533734">
        <w:rPr>
          <w:spacing w:val="-4"/>
        </w:rPr>
        <w:t xml:space="preserve"> Frameworks, by Religion and Type of Framework,</w:t>
      </w:r>
      <w:r w:rsidRPr="00533734">
        <w:t xml:space="preserve"> 20</w:t>
      </w:r>
      <w:r w:rsidR="005E21B7" w:rsidRPr="00533734">
        <w:t>20</w:t>
      </w:r>
    </w:p>
    <w:p w14:paraId="203DCB8A" w14:textId="6395EF8A" w:rsidR="00580618" w:rsidRDefault="00533734" w:rsidP="00447668">
      <w:pPr>
        <w:pStyle w:val="center"/>
        <w:spacing w:after="0" w:line="240" w:lineRule="auto"/>
      </w:pPr>
      <w:r>
        <w:drawing>
          <wp:inline distT="0" distB="0" distL="0" distR="0" wp14:anchorId="1DCE4E41" wp14:editId="01AB96EC">
            <wp:extent cx="4550232" cy="2895600"/>
            <wp:effectExtent l="0" t="0" r="3175" b="0"/>
            <wp:docPr id="25" name="Picture 25" descr="Diagram 9 - Persons Placed in Social Service Frameworks, by Religion and Type of Framework, 2020" title="Diagram 9 - Persons Placed in Social Service Frameworks, by Religion and Type of Framework,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3429" cy="2897634"/>
                    </a:xfrm>
                    <a:prstGeom prst="rect">
                      <a:avLst/>
                    </a:prstGeom>
                    <a:noFill/>
                  </pic:spPr>
                </pic:pic>
              </a:graphicData>
            </a:graphic>
          </wp:inline>
        </w:drawing>
      </w:r>
    </w:p>
    <w:p w14:paraId="1D947EF4" w14:textId="1404AC04" w:rsidR="00892810" w:rsidRPr="00B62B22" w:rsidRDefault="00447668" w:rsidP="00447668">
      <w:pPr>
        <w:pStyle w:val="Heading2"/>
      </w:pPr>
      <w:r>
        <w:t>Crime and Justice, Court Judgement 2019</w:t>
      </w:r>
    </w:p>
    <w:p w14:paraId="667AE37C" w14:textId="77777777" w:rsidR="002A1514" w:rsidRDefault="002A1514" w:rsidP="002A1514">
      <w:pPr>
        <w:bidi w:val="0"/>
        <w:spacing w:after="120" w:line="360" w:lineRule="auto"/>
        <w:rPr>
          <w:rFonts w:ascii="Arial" w:hAnsi="Arial" w:cs="Arial"/>
          <w:b w:val="0"/>
          <w:bCs w:val="0"/>
          <w:szCs w:val="24"/>
        </w:rPr>
      </w:pPr>
      <w:r w:rsidRPr="002A1514">
        <w:rPr>
          <w:rFonts w:ascii="Arial" w:hAnsi="Arial" w:cs="Arial"/>
          <w:b w:val="0"/>
          <w:bCs w:val="0"/>
          <w:szCs w:val="24"/>
        </w:rPr>
        <w:t>In the year of court judgement 2019, the rate of persons judged in criminal trials among the Christian population in Israel was about 211 per 100,000 persons, considerably lower than the rate among Moslems (about 458 per 100,000 persons) and similar to the rate among Jews (about 212 per 100,000 persons).</w:t>
      </w:r>
    </w:p>
    <w:p w14:paraId="2DEF9C67" w14:textId="77777777" w:rsidR="002A1514" w:rsidRPr="00892810" w:rsidRDefault="002A1514" w:rsidP="002A1514">
      <w:pPr>
        <w:bidi w:val="0"/>
        <w:spacing w:after="120" w:line="360" w:lineRule="auto"/>
        <w:rPr>
          <w:rFonts w:ascii="Arial" w:hAnsi="Arial" w:cs="Arial"/>
          <w:b w:val="0"/>
          <w:bCs w:val="0"/>
          <w:szCs w:val="24"/>
          <w:rtl/>
        </w:rPr>
      </w:pPr>
      <w:r w:rsidRPr="002A1514">
        <w:rPr>
          <w:rFonts w:ascii="Arial" w:hAnsi="Arial" w:cs="Arial"/>
          <w:b w:val="0"/>
          <w:bCs w:val="0"/>
          <w:szCs w:val="24"/>
        </w:rPr>
        <w:t>Of those judged in criminal trials among the Christian population, the proportion of men was 413 per 100,000 persons. Of those, the rate of non-Arab Christian men was about 769 per 100,000 persons, compared with the rate of Arab Christian men, about 326 per 100,000 persons. A similar trend was observed among women. The rate of women judged in criminal trials was 35 per 100,000 persons: about 53 per 100,000 persons among non-Arab Christian women and about 29 per 100,000 persons among Arab Christian women.</w:t>
      </w:r>
    </w:p>
    <w:p w14:paraId="071C5F26" w14:textId="7A949EF0" w:rsidR="002A1514" w:rsidRPr="001952C5" w:rsidRDefault="001952C5" w:rsidP="002A1514">
      <w:pPr>
        <w:bidi w:val="0"/>
        <w:spacing w:after="120" w:line="360" w:lineRule="auto"/>
        <w:rPr>
          <w:rFonts w:asciiTheme="minorBidi" w:hAnsiTheme="minorBidi" w:cstheme="minorBidi"/>
          <w:b w:val="0"/>
          <w:bCs w:val="0"/>
          <w:color w:val="215868" w:themeColor="accent5" w:themeShade="80"/>
          <w:szCs w:val="24"/>
          <w:rtl/>
        </w:rPr>
      </w:pPr>
      <w:r w:rsidRPr="001952C5">
        <w:rPr>
          <w:rFonts w:ascii="Arial" w:hAnsi="Arial" w:cs="Arial"/>
          <w:b w:val="0"/>
          <w:bCs w:val="0"/>
          <w:szCs w:val="24"/>
        </w:rPr>
        <w:t>As mentioned, the rate of men judged in criminal trials among the Christian population was about 413 per 100,000 persons, similar to the rate of Jews but substantially lower than the rate among Moslems (about 416 and about 888 per 100,000 persons, respectively). The rate of women judged in criminal trials among the Christian population was about 35 per 100,000 persons, lower than both the rate of persons judged in criminal trials among Jews and the rate of persons judged in criminal trials among Moslems (about 51 and about 49 per 100,000 persons, respectively).</w:t>
      </w:r>
    </w:p>
    <w:p w14:paraId="136F45EE" w14:textId="340725C2" w:rsidR="00892810" w:rsidRPr="00892810" w:rsidRDefault="008A477A" w:rsidP="008A477A">
      <w:pPr>
        <w:pStyle w:val="Heading2"/>
        <w:rPr>
          <w:rFonts w:asciiTheme="minorBidi" w:hAnsiTheme="minorBidi" w:cstheme="minorBidi"/>
          <w:color w:val="215868" w:themeColor="accent5" w:themeShade="80"/>
        </w:rPr>
      </w:pPr>
      <w:r>
        <w:t>Convicted Persons</w:t>
      </w:r>
    </w:p>
    <w:p w14:paraId="57CB79A9" w14:textId="77777777" w:rsidR="001952C5" w:rsidRDefault="001952C5" w:rsidP="001952C5">
      <w:pPr>
        <w:bidi w:val="0"/>
        <w:spacing w:after="120" w:line="360" w:lineRule="auto"/>
        <w:rPr>
          <w:rFonts w:ascii="Arial" w:hAnsi="Arial" w:cs="Arial"/>
          <w:b w:val="0"/>
          <w:bCs w:val="0"/>
          <w:szCs w:val="24"/>
        </w:rPr>
      </w:pPr>
      <w:r w:rsidRPr="001952C5">
        <w:rPr>
          <w:rFonts w:ascii="Arial" w:hAnsi="Arial" w:cs="Arial"/>
          <w:b w:val="0"/>
          <w:bCs w:val="0"/>
          <w:szCs w:val="24"/>
        </w:rPr>
        <w:t>The rate of convicted Christians (about 187 per 100,000 persons) is slightly higher than the rate of convicted persons among Jews (about 175 per 100,000 persons) and considerably lower than the rate among Moslems (about 420 per 100,000 persons).</w:t>
      </w:r>
    </w:p>
    <w:p w14:paraId="35F4F007" w14:textId="4099721C" w:rsidR="001952C5" w:rsidRPr="00115A9C" w:rsidRDefault="001952C5" w:rsidP="00447668">
      <w:pPr>
        <w:bidi w:val="0"/>
        <w:spacing w:after="40"/>
        <w:jc w:val="center"/>
        <w:rPr>
          <w:rFonts w:asciiTheme="minorBidi" w:hAnsiTheme="minorBidi" w:cstheme="minorBidi"/>
          <w:szCs w:val="24"/>
        </w:rPr>
      </w:pPr>
      <w:r w:rsidRPr="001952C5">
        <w:rPr>
          <w:rFonts w:asciiTheme="minorBidi" w:hAnsiTheme="minorBidi" w:cstheme="minorBidi"/>
          <w:szCs w:val="24"/>
        </w:rPr>
        <w:t xml:space="preserve">Diagram 10 - </w:t>
      </w:r>
      <w:r w:rsidRPr="001952C5">
        <w:rPr>
          <w:rFonts w:asciiTheme="minorBidi" w:hAnsiTheme="minorBidi" w:cstheme="minorBidi"/>
        </w:rPr>
        <w:t xml:space="preserve">Persons Judged in Criminal Trials </w:t>
      </w:r>
      <w:r w:rsidR="00447668">
        <w:rPr>
          <w:rFonts w:asciiTheme="minorBidi" w:hAnsiTheme="minorBidi" w:cstheme="minorBidi"/>
        </w:rPr>
        <w:t>among</w:t>
      </w:r>
      <w:r w:rsidRPr="001952C5">
        <w:rPr>
          <w:rFonts w:asciiTheme="minorBidi" w:hAnsiTheme="minorBidi" w:cstheme="minorBidi"/>
        </w:rPr>
        <w:t xml:space="preserve"> Israel’s Population, by Religion and by Verdict, Year of Court Judgement 2019</w:t>
      </w:r>
      <w:r w:rsidRPr="00115A9C">
        <w:rPr>
          <w:rFonts w:asciiTheme="minorBidi" w:hAnsiTheme="minorBidi" w:cstheme="minorBidi"/>
        </w:rPr>
        <w:t xml:space="preserve"> </w:t>
      </w:r>
    </w:p>
    <w:p w14:paraId="22848373" w14:textId="41990D9A" w:rsidR="00892810" w:rsidRDefault="00115A9C" w:rsidP="002F3391">
      <w:pPr>
        <w:bidi w:val="0"/>
        <w:jc w:val="center"/>
        <w:rPr>
          <w:rFonts w:ascii="Arial" w:hAnsi="Arial" w:cs="Arial"/>
          <w:szCs w:val="24"/>
          <w:rtl/>
        </w:rPr>
      </w:pPr>
      <w:r>
        <w:rPr>
          <w:rFonts w:ascii="Arial" w:hAnsi="Arial" w:cs="Arial"/>
          <w:noProof/>
          <w:szCs w:val="24"/>
          <w:lang w:eastAsia="en-US"/>
        </w:rPr>
        <w:drawing>
          <wp:inline distT="0" distB="0" distL="0" distR="0" wp14:anchorId="1054D06C" wp14:editId="6233F1B9">
            <wp:extent cx="3544862" cy="2257425"/>
            <wp:effectExtent l="0" t="0" r="0" b="0"/>
            <wp:docPr id="26" name="Picture 26" descr="Diagram 10 - Persons Judged in Criminal Trials among Israel’s Population, by Religion and by Verdict, Year of Court Judgement 2019 " title="Diagram 10 - Persons Judged in Criminal Trials among Israel’s Population, by Religion and by Verdict, Year of Court Judgement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4792" cy="2263749"/>
                    </a:xfrm>
                    <a:prstGeom prst="rect">
                      <a:avLst/>
                    </a:prstGeom>
                    <a:noFill/>
                  </pic:spPr>
                </pic:pic>
              </a:graphicData>
            </a:graphic>
          </wp:inline>
        </w:drawing>
      </w:r>
    </w:p>
    <w:p w14:paraId="5C4F27EF" w14:textId="77777777" w:rsidR="00F64F53" w:rsidRDefault="00F64F53" w:rsidP="00F64F53">
      <w:pPr>
        <w:bidi w:val="0"/>
        <w:spacing w:after="120" w:line="360" w:lineRule="auto"/>
        <w:rPr>
          <w:rFonts w:ascii="Arial" w:hAnsi="Arial" w:cs="Arial"/>
          <w:b w:val="0"/>
          <w:bCs w:val="0"/>
          <w:szCs w:val="24"/>
        </w:rPr>
      </w:pPr>
      <w:r w:rsidRPr="00F64F53">
        <w:rPr>
          <w:rFonts w:ascii="Arial" w:hAnsi="Arial" w:cs="Arial"/>
          <w:b w:val="0"/>
          <w:bCs w:val="0"/>
          <w:szCs w:val="24"/>
        </w:rPr>
        <w:t>In the year of court judgement 2019, the rate of non-Arab Christian persons convicted was substantially higher than the rate of Arab Christians (about 259 and about 166 per 100,000 persons, respectively).</w:t>
      </w:r>
    </w:p>
    <w:p w14:paraId="123EB722" w14:textId="2A4CDADE" w:rsidR="00F64F53" w:rsidRPr="00F300A7" w:rsidRDefault="00F64F53" w:rsidP="00447668">
      <w:pPr>
        <w:bidi w:val="0"/>
        <w:spacing w:after="120" w:line="360" w:lineRule="auto"/>
        <w:jc w:val="center"/>
        <w:rPr>
          <w:rFonts w:ascii="Arial" w:hAnsi="Arial" w:cs="Arial"/>
          <w:szCs w:val="24"/>
        </w:rPr>
      </w:pPr>
      <w:r w:rsidRPr="00F64F53">
        <w:rPr>
          <w:rFonts w:ascii="Arial" w:hAnsi="Arial" w:cs="Arial"/>
          <w:szCs w:val="24"/>
        </w:rPr>
        <w:t xml:space="preserve">Diagram 11 – Persons Judged in Criminal Trials </w:t>
      </w:r>
      <w:r w:rsidR="00447668">
        <w:rPr>
          <w:rFonts w:ascii="Arial" w:hAnsi="Arial" w:cs="Arial"/>
          <w:szCs w:val="24"/>
        </w:rPr>
        <w:t>among</w:t>
      </w:r>
      <w:r w:rsidRPr="00F64F53">
        <w:rPr>
          <w:rFonts w:ascii="Arial" w:hAnsi="Arial" w:cs="Arial"/>
          <w:szCs w:val="24"/>
        </w:rPr>
        <w:t xml:space="preserve"> the Christian Population, by Verdict, Year of Court Judgement 2019</w:t>
      </w:r>
      <w:r>
        <w:rPr>
          <w:rFonts w:ascii="Arial" w:hAnsi="Arial" w:cs="Arial"/>
          <w:szCs w:val="24"/>
        </w:rPr>
        <w:t xml:space="preserve"> </w:t>
      </w:r>
    </w:p>
    <w:p w14:paraId="4132A281" w14:textId="1E88ACDA" w:rsidR="00892810" w:rsidRDefault="00115A9C" w:rsidP="00804CC3">
      <w:pPr>
        <w:bidi w:val="0"/>
        <w:spacing w:after="120" w:line="360" w:lineRule="auto"/>
        <w:jc w:val="center"/>
        <w:rPr>
          <w:rFonts w:ascii="Arial" w:hAnsi="Arial" w:cs="Arial"/>
          <w:szCs w:val="24"/>
          <w:rtl/>
        </w:rPr>
      </w:pPr>
      <w:r>
        <w:rPr>
          <w:rFonts w:ascii="Arial" w:hAnsi="Arial" w:cs="Arial"/>
          <w:noProof/>
          <w:szCs w:val="24"/>
          <w:lang w:eastAsia="en-US"/>
        </w:rPr>
        <w:drawing>
          <wp:inline distT="0" distB="0" distL="0" distR="0" wp14:anchorId="3351EDD8" wp14:editId="19AFCFE4">
            <wp:extent cx="4594860" cy="2987040"/>
            <wp:effectExtent l="0" t="0" r="0" b="3810"/>
            <wp:docPr id="27" name="Picture 27" descr="Diagram 11 – Persons Judged in Criminal Trials among the Christian Population, by Verdict, Year of Court Judgement 2019 " title="Diagram 11 – Persons Judged in Criminal Trials among the Christian Population, by Verdict, Year of Court Judgement 201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4860" cy="2987040"/>
                    </a:xfrm>
                    <a:prstGeom prst="rect">
                      <a:avLst/>
                    </a:prstGeom>
                    <a:noFill/>
                  </pic:spPr>
                </pic:pic>
              </a:graphicData>
            </a:graphic>
          </wp:inline>
        </w:drawing>
      </w:r>
    </w:p>
    <w:p w14:paraId="0F2B516F" w14:textId="77777777" w:rsidR="00F64F53" w:rsidRPr="00BE0D0D" w:rsidRDefault="00F64F53" w:rsidP="00F64F53">
      <w:pPr>
        <w:bidi w:val="0"/>
        <w:spacing w:after="120" w:line="360" w:lineRule="auto"/>
        <w:rPr>
          <w:rFonts w:ascii="Arial" w:hAnsi="Arial" w:cs="Arial"/>
          <w:b w:val="0"/>
          <w:bCs w:val="0"/>
          <w:szCs w:val="24"/>
        </w:rPr>
      </w:pPr>
      <w:r w:rsidRPr="00F64F53">
        <w:rPr>
          <w:rFonts w:ascii="Arial" w:hAnsi="Arial" w:cs="Arial"/>
          <w:b w:val="0"/>
          <w:bCs w:val="0"/>
          <w:szCs w:val="24"/>
        </w:rPr>
        <w:t>In an examination by sex, the rate of convicted men among the Christian population was about 364 per 100,000 persons. This rate is similar to the rate of Jews (about 343 per 100,000 persons), but significantly lower than the rate among Moslems (about 805 per 100,000 persons).</w:t>
      </w:r>
    </w:p>
    <w:p w14:paraId="24C4E72D" w14:textId="77777777" w:rsidR="00F64F53" w:rsidRDefault="00F64F53" w:rsidP="00F64F53">
      <w:pPr>
        <w:bidi w:val="0"/>
        <w:spacing w:after="120" w:line="360" w:lineRule="auto"/>
        <w:rPr>
          <w:rFonts w:ascii="Arial" w:hAnsi="Arial" w:cs="Arial"/>
          <w:b w:val="0"/>
          <w:bCs w:val="0"/>
          <w:szCs w:val="24"/>
        </w:rPr>
      </w:pPr>
      <w:r w:rsidRPr="00F64F53">
        <w:rPr>
          <w:rFonts w:ascii="Arial" w:hAnsi="Arial" w:cs="Arial"/>
          <w:b w:val="0"/>
          <w:bCs w:val="0"/>
          <w:szCs w:val="24"/>
        </w:rPr>
        <w:t>The rate of convicted women among the Christian population was about 25 per 100,000 persons. This rate is lower than both the conviction rate among Jews and the conviction rate among Moslems (about 39 and about 42 per 100,000 persons, respectively)</w:t>
      </w:r>
      <w:r w:rsidRPr="00F64F53">
        <w:rPr>
          <w:rFonts w:ascii="Arial" w:hAnsi="Arial" w:cs="Arial"/>
          <w:b w:val="0"/>
          <w:bCs w:val="0"/>
          <w:szCs w:val="24"/>
          <w:rtl/>
        </w:rPr>
        <w:t>.</w:t>
      </w:r>
    </w:p>
    <w:p w14:paraId="264B621F" w14:textId="77777777" w:rsidR="00F64F53" w:rsidRPr="002F04A9" w:rsidRDefault="00F64F53" w:rsidP="00F64F53">
      <w:pPr>
        <w:bidi w:val="0"/>
        <w:spacing w:after="120" w:line="360" w:lineRule="auto"/>
        <w:rPr>
          <w:rFonts w:asciiTheme="minorBidi" w:hAnsiTheme="minorBidi" w:cstheme="minorBidi"/>
          <w:color w:val="215868" w:themeColor="accent5" w:themeShade="80"/>
          <w:szCs w:val="24"/>
        </w:rPr>
      </w:pPr>
      <w:r w:rsidRPr="002F04A9">
        <w:rPr>
          <w:rFonts w:asciiTheme="minorBidi" w:hAnsiTheme="minorBidi" w:cstheme="minorBidi"/>
          <w:color w:val="215868" w:themeColor="accent5" w:themeShade="80"/>
          <w:szCs w:val="24"/>
        </w:rPr>
        <w:t>Recidivists and Common Offen</w:t>
      </w:r>
      <w:r>
        <w:rPr>
          <w:rFonts w:asciiTheme="minorBidi" w:hAnsiTheme="minorBidi" w:cstheme="minorBidi"/>
          <w:color w:val="215868" w:themeColor="accent5" w:themeShade="80"/>
          <w:szCs w:val="24"/>
        </w:rPr>
        <w:t>c</w:t>
      </w:r>
      <w:r w:rsidRPr="002F04A9">
        <w:rPr>
          <w:rFonts w:asciiTheme="minorBidi" w:hAnsiTheme="minorBidi" w:cstheme="minorBidi"/>
          <w:color w:val="215868" w:themeColor="accent5" w:themeShade="80"/>
          <w:szCs w:val="24"/>
        </w:rPr>
        <w:t>es</w:t>
      </w:r>
    </w:p>
    <w:p w14:paraId="35001940" w14:textId="0EA5ECB3" w:rsidR="00F64F53" w:rsidRPr="00F64F53" w:rsidRDefault="00F64F53" w:rsidP="00DD66B2">
      <w:pPr>
        <w:bidi w:val="0"/>
        <w:spacing w:after="120" w:line="360" w:lineRule="auto"/>
        <w:rPr>
          <w:rFonts w:ascii="Arial" w:hAnsi="Arial" w:cs="Arial"/>
          <w:b w:val="0"/>
          <w:bCs w:val="0"/>
          <w:szCs w:val="24"/>
        </w:rPr>
      </w:pPr>
      <w:r w:rsidRPr="00F64F53">
        <w:rPr>
          <w:rFonts w:ascii="Arial" w:hAnsi="Arial" w:cs="Arial"/>
          <w:b w:val="0"/>
          <w:bCs w:val="0"/>
          <w:szCs w:val="24"/>
        </w:rPr>
        <w:t>In the year of court judgement 2019, 53.3% of those convicted among the Christian population in Israel were recidivists</w:t>
      </w:r>
      <w:r w:rsidRPr="00F64F53">
        <w:rPr>
          <w:rStyle w:val="FootnoteReference"/>
          <w:rFonts w:ascii="Arial" w:hAnsi="Arial"/>
          <w:b w:val="0"/>
          <w:bCs w:val="0"/>
        </w:rPr>
        <w:footnoteReference w:id="20"/>
      </w:r>
      <w:r w:rsidRPr="00F64F53">
        <w:rPr>
          <w:rFonts w:ascii="Arial" w:hAnsi="Arial" w:cs="Arial"/>
          <w:b w:val="0"/>
          <w:bCs w:val="0"/>
          <w:szCs w:val="24"/>
        </w:rPr>
        <w:t xml:space="preserve"> (52.4% among </w:t>
      </w:r>
      <w:r w:rsidR="00DD66B2" w:rsidRPr="00F64F53">
        <w:rPr>
          <w:rFonts w:ascii="Arial" w:hAnsi="Arial" w:cs="Arial"/>
          <w:b w:val="0"/>
          <w:bCs w:val="0"/>
          <w:szCs w:val="24"/>
        </w:rPr>
        <w:t>Arab</w:t>
      </w:r>
      <w:r w:rsidR="00DD66B2">
        <w:rPr>
          <w:rFonts w:ascii="Arial" w:hAnsi="Arial" w:cs="Arial"/>
          <w:b w:val="0"/>
          <w:bCs w:val="0"/>
          <w:szCs w:val="24"/>
        </w:rPr>
        <w:t xml:space="preserve"> </w:t>
      </w:r>
      <w:r w:rsidRPr="00F64F53">
        <w:rPr>
          <w:rFonts w:ascii="Arial" w:hAnsi="Arial" w:cs="Arial"/>
          <w:b w:val="0"/>
          <w:bCs w:val="0"/>
          <w:szCs w:val="24"/>
        </w:rPr>
        <w:t>Christians and 55.1% among non-Arab Christians) compared with 56.4% among all residents of Israel</w:t>
      </w:r>
      <w:r w:rsidRPr="00F64F53">
        <w:rPr>
          <w:rFonts w:ascii="Arial" w:hAnsi="Arial" w:cs="Arial"/>
          <w:b w:val="0"/>
          <w:bCs w:val="0"/>
          <w:szCs w:val="24"/>
          <w:rtl/>
        </w:rPr>
        <w:t>.</w:t>
      </w:r>
    </w:p>
    <w:p w14:paraId="1D03F1AA" w14:textId="77777777" w:rsidR="00F64F53" w:rsidRPr="002F04A9" w:rsidRDefault="00F64F53" w:rsidP="00F64F53">
      <w:pPr>
        <w:bidi w:val="0"/>
        <w:spacing w:after="120" w:line="360" w:lineRule="auto"/>
        <w:rPr>
          <w:rFonts w:ascii="Arial" w:hAnsi="Arial" w:cs="Arial"/>
          <w:b w:val="0"/>
          <w:bCs w:val="0"/>
          <w:szCs w:val="24"/>
          <w:rtl/>
        </w:rPr>
      </w:pPr>
      <w:r w:rsidRPr="00F64F53">
        <w:rPr>
          <w:rFonts w:ascii="Arial" w:hAnsi="Arial" w:cs="Arial"/>
          <w:b w:val="0"/>
          <w:bCs w:val="0"/>
          <w:szCs w:val="24"/>
        </w:rPr>
        <w:t>In examining the distribution of offence groups, the most common offences among persons convicted from the Christian population in Israel are as follows: offences against public order (22.8%), bodily harm (18.6%), morality offences (15.3%) and property offences (15.3%). The least common offences among the Christian population are sexual offences (2.7%) and offences against the security of the state (2.1%).</w:t>
      </w:r>
    </w:p>
    <w:p w14:paraId="2E8C2F41" w14:textId="1AA534CE" w:rsidR="000B1767" w:rsidRPr="002F04A9" w:rsidRDefault="000B1767" w:rsidP="000B1767">
      <w:pPr>
        <w:bidi w:val="0"/>
        <w:spacing w:after="120" w:line="360" w:lineRule="auto"/>
        <w:jc w:val="center"/>
        <w:rPr>
          <w:rFonts w:ascii="Arial" w:hAnsi="Arial" w:cs="Arial"/>
          <w:szCs w:val="24"/>
        </w:rPr>
      </w:pPr>
      <w:r>
        <w:rPr>
          <w:rFonts w:ascii="Arial" w:hAnsi="Arial" w:cs="Arial"/>
          <w:szCs w:val="24"/>
        </w:rPr>
        <w:t>Diagram 12 – Persons Convicted</w:t>
      </w:r>
      <w:r w:rsidR="00DD66B2">
        <w:rPr>
          <w:rFonts w:ascii="Arial" w:hAnsi="Arial" w:cs="Arial"/>
          <w:szCs w:val="24"/>
        </w:rPr>
        <w:t>,</w:t>
      </w:r>
      <w:r>
        <w:rPr>
          <w:rFonts w:ascii="Arial" w:hAnsi="Arial" w:cs="Arial"/>
          <w:szCs w:val="24"/>
        </w:rPr>
        <w:t xml:space="preserve"> by Offence Group, Year of Court Judgement 2019</w:t>
      </w:r>
    </w:p>
    <w:p w14:paraId="23C45654" w14:textId="0C31167B" w:rsidR="00892810" w:rsidRDefault="000357AD" w:rsidP="00C216ED">
      <w:pPr>
        <w:bidi w:val="0"/>
        <w:spacing w:after="120" w:line="360" w:lineRule="auto"/>
        <w:jc w:val="center"/>
        <w:rPr>
          <w:rFonts w:ascii="Arial" w:hAnsi="Arial" w:cs="Arial"/>
          <w:szCs w:val="24"/>
          <w:rtl/>
        </w:rPr>
      </w:pPr>
      <w:r>
        <w:rPr>
          <w:rFonts w:ascii="Arial" w:hAnsi="Arial" w:cs="Arial"/>
          <w:noProof/>
          <w:szCs w:val="24"/>
          <w:lang w:eastAsia="en-US"/>
        </w:rPr>
        <w:drawing>
          <wp:inline distT="0" distB="0" distL="0" distR="0" wp14:anchorId="473A10B0" wp14:editId="35AE1661">
            <wp:extent cx="6217920" cy="3261360"/>
            <wp:effectExtent l="0" t="0" r="0" b="0"/>
            <wp:docPr id="28" name="Picture 28" descr="Diagram 12 – Persons Convicted, by Offence Group, Year of Court Judgement 2019" title="Diagram 12 – Persons Convicted, by Offence Group, Year of Court Judgeme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7920" cy="3261360"/>
                    </a:xfrm>
                    <a:prstGeom prst="rect">
                      <a:avLst/>
                    </a:prstGeom>
                    <a:noFill/>
                  </pic:spPr>
                </pic:pic>
              </a:graphicData>
            </a:graphic>
          </wp:inline>
        </w:drawing>
      </w:r>
    </w:p>
    <w:p w14:paraId="035D50F6" w14:textId="25B7A223" w:rsidR="00FE7BA1" w:rsidRDefault="00FE7BA1" w:rsidP="00FE7BA1">
      <w:pPr>
        <w:pStyle w:val="Heading2"/>
      </w:pPr>
      <w:r>
        <w:t>Definitions and Explanations - Crime</w:t>
      </w:r>
    </w:p>
    <w:p w14:paraId="7C4325EB" w14:textId="2D5A7C3F" w:rsidR="00FE7BA1" w:rsidRPr="00FE7BA1" w:rsidRDefault="00FE7BA1" w:rsidP="00FE7BA1">
      <w:pPr>
        <w:pStyle w:val="Heading3"/>
      </w:pPr>
      <w:r w:rsidRPr="00FE7BA1">
        <w:t>Sources of the data</w:t>
      </w:r>
    </w:p>
    <w:p w14:paraId="75FF6B04" w14:textId="0F3B9801" w:rsidR="00FE7BA1" w:rsidRPr="00FE7BA1" w:rsidRDefault="00F50157" w:rsidP="00FE7BA1">
      <w:pPr>
        <w:bidi w:val="0"/>
        <w:spacing w:line="360" w:lineRule="auto"/>
        <w:rPr>
          <w:rStyle w:val="LatinChar"/>
          <w:rFonts w:ascii="Arial" w:hAnsi="Arial" w:cs="Arial"/>
          <w:b w:val="0"/>
          <w:bCs w:val="0"/>
          <w:szCs w:val="24"/>
          <w:lang w:val="en-GB"/>
        </w:rPr>
      </w:pPr>
      <w:r>
        <w:rPr>
          <w:rFonts w:asciiTheme="minorBidi" w:hAnsiTheme="minorBidi" w:cstheme="minorBidi"/>
          <w:b w:val="0"/>
          <w:bCs w:val="0"/>
        </w:rPr>
        <w:t xml:space="preserve">Data based on </w:t>
      </w:r>
      <w:r w:rsidRPr="00F50157">
        <w:rPr>
          <w:rFonts w:asciiTheme="minorBidi" w:hAnsiTheme="minorBidi" w:cstheme="minorBidi"/>
          <w:b w:val="0"/>
          <w:bCs w:val="0"/>
        </w:rPr>
        <w:t>Criminal Register of the Israel Police.</w:t>
      </w:r>
      <w:r w:rsidR="00FE7BA1">
        <w:rPr>
          <w:rStyle w:val="LatinChar"/>
          <w:rFonts w:ascii="Arial" w:hAnsi="Arial" w:cs="Arial"/>
          <w:szCs w:val="24"/>
          <w:lang w:val="en-GB"/>
        </w:rPr>
        <w:t xml:space="preserve"> </w:t>
      </w:r>
      <w:r w:rsidR="00FE7BA1" w:rsidRPr="00FE7BA1">
        <w:rPr>
          <w:rStyle w:val="LatinChar"/>
          <w:rFonts w:ascii="Arial" w:hAnsi="Arial" w:cs="Arial"/>
          <w:b w:val="0"/>
          <w:bCs w:val="0"/>
          <w:szCs w:val="24"/>
          <w:lang w:val="en-GB"/>
        </w:rPr>
        <w:t xml:space="preserve">This system was developed and is being managed by the Technological Administration of the Israel Police. The system is intended to manage the Criminal Register in accordance with principles established in the law, including rules governing the statute of limitations and erasure of information. </w:t>
      </w:r>
    </w:p>
    <w:p w14:paraId="62B97236" w14:textId="3100860D" w:rsidR="00FE7BA1" w:rsidRDefault="00FE7BA1" w:rsidP="00751468">
      <w:pPr>
        <w:pStyle w:val="text"/>
        <w:spacing w:line="360" w:lineRule="auto"/>
        <w:jc w:val="left"/>
        <w:rPr>
          <w:rStyle w:val="LatinChar"/>
          <w:rFonts w:ascii="Arial" w:hAnsi="Arial" w:cs="Arial"/>
          <w:sz w:val="24"/>
          <w:lang w:val="en-GB"/>
        </w:rPr>
      </w:pPr>
      <w:r w:rsidRPr="00FE7BA1">
        <w:rPr>
          <w:rStyle w:val="LatinChar"/>
          <w:rFonts w:ascii="Arial" w:hAnsi="Arial" w:cs="Arial"/>
          <w:sz w:val="24"/>
          <w:lang w:val="en-GB"/>
        </w:rPr>
        <w:t>The Criminal Register documents and administers criminal offences, verdicts concerning those offences, and the penalties adjudicated for them.</w:t>
      </w:r>
    </w:p>
    <w:p w14:paraId="547341F6" w14:textId="6583AB82" w:rsidR="00392D3F" w:rsidRPr="00392D3F" w:rsidRDefault="00392D3F" w:rsidP="00751468">
      <w:pPr>
        <w:bidi w:val="0"/>
        <w:spacing w:before="360" w:line="360" w:lineRule="auto"/>
        <w:rPr>
          <w:rStyle w:val="LatinChar"/>
          <w:rFonts w:ascii="Arial" w:hAnsi="Arial" w:cs="Arial"/>
          <w:b w:val="0"/>
          <w:bCs w:val="0"/>
          <w:szCs w:val="24"/>
          <w:lang w:val="en-GB"/>
        </w:rPr>
      </w:pPr>
      <w:r w:rsidRPr="00D06CE0">
        <w:rPr>
          <w:rStyle w:val="LatinChar"/>
          <w:rFonts w:ascii="Arial" w:hAnsi="Arial" w:cs="Arial"/>
          <w:szCs w:val="24"/>
          <w:lang w:val="en-GB"/>
        </w:rPr>
        <w:t xml:space="preserve">Persons </w:t>
      </w:r>
      <w:r w:rsidR="00D06CE0" w:rsidRPr="00D06CE0">
        <w:rPr>
          <w:rStyle w:val="LatinChar"/>
          <w:rFonts w:ascii="Arial" w:hAnsi="Arial" w:cs="Arial"/>
          <w:szCs w:val="24"/>
          <w:lang w:val="en-GB"/>
        </w:rPr>
        <w:t>judged</w:t>
      </w:r>
      <w:r w:rsidRPr="00D06CE0">
        <w:rPr>
          <w:rStyle w:val="LatinChar"/>
          <w:rFonts w:ascii="Arial" w:hAnsi="Arial" w:cs="Arial"/>
          <w:szCs w:val="24"/>
          <w:lang w:val="en-GB"/>
        </w:rPr>
        <w:t xml:space="preserve"> in</w:t>
      </w:r>
      <w:r w:rsidRPr="00392D3F">
        <w:rPr>
          <w:rStyle w:val="LatinChar"/>
          <w:rFonts w:ascii="Arial" w:hAnsi="Arial" w:cs="Arial"/>
          <w:szCs w:val="24"/>
          <w:lang w:val="en-GB"/>
        </w:rPr>
        <w:t xml:space="preserve"> criminal trials:</w:t>
      </w:r>
      <w:r w:rsidRPr="00392D3F">
        <w:rPr>
          <w:rStyle w:val="LatinChar"/>
          <w:rFonts w:ascii="Arial" w:hAnsi="Arial" w:cs="Arial"/>
          <w:b w:val="0"/>
          <w:bCs w:val="0"/>
          <w:szCs w:val="24"/>
          <w:lang w:val="en-GB"/>
        </w:rPr>
        <w:t xml:space="preserve"> The data present information on persons charged in criminal </w:t>
      </w:r>
      <w:r w:rsidRPr="00DD66B2">
        <w:rPr>
          <w:rStyle w:val="LatinChar"/>
          <w:rFonts w:ascii="Arial" w:hAnsi="Arial" w:cs="Arial"/>
          <w:b w:val="0"/>
          <w:bCs w:val="0"/>
          <w:szCs w:val="24"/>
          <w:lang w:val="en-GB"/>
        </w:rPr>
        <w:t xml:space="preserve">trials who were handed a verdict in a given year. </w:t>
      </w:r>
      <w:r w:rsidR="00D06CE0" w:rsidRPr="00DD66B2">
        <w:rPr>
          <w:rStyle w:val="LatinChar"/>
          <w:rFonts w:ascii="Arial" w:hAnsi="Arial" w:cs="Arial"/>
          <w:b w:val="0"/>
          <w:bCs w:val="0"/>
          <w:szCs w:val="24"/>
          <w:lang w:val="en-GB"/>
        </w:rPr>
        <w:t>The data relates to residents of Israel who were charged with a criminal offence, as well as foreign residents and residents of the Palestinian Authority who committed crimes against Israelis or crimes in Israel’s territory. This Media Release focuses only on residents of Israel.</w:t>
      </w:r>
      <w:r w:rsidR="00D06CE0">
        <w:rPr>
          <w:rStyle w:val="LatinChar"/>
          <w:rFonts w:ascii="Arial" w:hAnsi="Arial" w:cs="Arial"/>
          <w:b w:val="0"/>
          <w:bCs w:val="0"/>
          <w:szCs w:val="24"/>
          <w:lang w:val="en-GB"/>
        </w:rPr>
        <w:t xml:space="preserve"> </w:t>
      </w:r>
    </w:p>
    <w:p w14:paraId="64B64DE9" w14:textId="77777777" w:rsidR="00392D3F" w:rsidRPr="00392D3F" w:rsidRDefault="00392D3F" w:rsidP="00392D3F">
      <w:pPr>
        <w:bidi w:val="0"/>
        <w:spacing w:line="360" w:lineRule="auto"/>
        <w:rPr>
          <w:rStyle w:val="LatinChar"/>
          <w:rFonts w:ascii="Arial" w:hAnsi="Arial" w:cs="Arial"/>
          <w:b w:val="0"/>
          <w:bCs w:val="0"/>
          <w:szCs w:val="24"/>
          <w:lang w:val="en-GB"/>
        </w:rPr>
      </w:pPr>
      <w:r w:rsidRPr="00392D3F">
        <w:rPr>
          <w:rStyle w:val="LatinChar"/>
          <w:rFonts w:ascii="Arial" w:hAnsi="Arial" w:cs="Arial"/>
          <w:b w:val="0"/>
          <w:bCs w:val="0"/>
          <w:szCs w:val="24"/>
          <w:lang w:val="en-GB"/>
        </w:rPr>
        <w:t xml:space="preserve">The data include verdicts reached in courts of first instance including: district courts, magistrates' courts, special courts (traffic courts, juvenile courts, municipal courts, family courts, and small claims courts), as well as in military, administrative, religious, and labour tribunals. The data do not include cases that were closed/withdrawn by the state attorney's office or by the police due to administrative and other decisions, in which a verdict was not given. </w:t>
      </w:r>
    </w:p>
    <w:p w14:paraId="40D7D1CA" w14:textId="77777777" w:rsidR="00392D3F" w:rsidRPr="00392D3F" w:rsidRDefault="00392D3F" w:rsidP="00392D3F">
      <w:pPr>
        <w:bidi w:val="0"/>
        <w:spacing w:line="360" w:lineRule="auto"/>
        <w:rPr>
          <w:rStyle w:val="LatinChar"/>
          <w:rFonts w:ascii="Arial" w:hAnsi="Arial" w:cs="Arial"/>
          <w:b w:val="0"/>
          <w:bCs w:val="0"/>
          <w:szCs w:val="24"/>
          <w:lang w:val="en-GB"/>
        </w:rPr>
      </w:pPr>
      <w:r w:rsidRPr="00392D3F">
        <w:rPr>
          <w:rStyle w:val="LatinChar"/>
          <w:rFonts w:ascii="Arial" w:hAnsi="Arial" w:cs="Arial"/>
          <w:b w:val="0"/>
          <w:bCs w:val="0"/>
          <w:szCs w:val="24"/>
          <w:lang w:val="en-GB"/>
        </w:rPr>
        <w:t xml:space="preserve">The counting unit is a court judgement concerning a single person, in which each judgement may relate to one court case or more. A court case can include charges against a person for more than one offence. </w:t>
      </w:r>
    </w:p>
    <w:p w14:paraId="32980CAC" w14:textId="77777777" w:rsidR="00392D3F" w:rsidRPr="00392D3F" w:rsidRDefault="00392D3F" w:rsidP="00392D3F">
      <w:pPr>
        <w:pStyle w:val="text"/>
        <w:spacing w:line="360" w:lineRule="auto"/>
        <w:jc w:val="left"/>
        <w:rPr>
          <w:rStyle w:val="LatinChar"/>
          <w:rFonts w:ascii="Arial" w:hAnsi="Arial" w:cs="Arial"/>
          <w:sz w:val="24"/>
          <w:lang w:val="en-GB"/>
        </w:rPr>
      </w:pPr>
      <w:r w:rsidRPr="00392D3F">
        <w:rPr>
          <w:rStyle w:val="LatinChar"/>
          <w:rFonts w:ascii="Arial" w:hAnsi="Arial" w:cs="Arial"/>
          <w:sz w:val="24"/>
          <w:lang w:val="en-GB"/>
        </w:rPr>
        <w:t xml:space="preserve">Each court judgement is counted once, even if it relates to several criminal cases or incidents that occurred at different times and places. When a court judgement relates to more than one case (consolidated cases), the data relate to the main case. When a single person was the subject of several verdicts during a given year, that person is represented only once. Such persons are represented by the last verdict given during the reference year. </w:t>
      </w:r>
    </w:p>
    <w:p w14:paraId="09331B42" w14:textId="77777777" w:rsidR="00D06CE0" w:rsidRPr="00392D3F" w:rsidRDefault="00D06CE0" w:rsidP="00D06CE0">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Conviction/convicted persons</w:t>
      </w:r>
      <w:r w:rsidRPr="00392D3F">
        <w:rPr>
          <w:rStyle w:val="LatinChar"/>
          <w:rFonts w:ascii="Arial" w:hAnsi="Arial" w:cs="Arial"/>
          <w:b/>
          <w:bCs/>
          <w:sz w:val="24"/>
          <w:lang w:val="en-GB"/>
        </w:rPr>
        <w:t>:</w:t>
      </w:r>
      <w:r w:rsidRPr="00392D3F">
        <w:rPr>
          <w:rStyle w:val="LatinChar"/>
          <w:rFonts w:ascii="Arial" w:hAnsi="Arial" w:cs="Arial"/>
          <w:sz w:val="24"/>
          <w:lang w:val="en-GB"/>
        </w:rPr>
        <w:t xml:space="preserve"> A conviction is considered any case in which the court finds persons guilty of the charges against them (excluding quashed convictions). </w:t>
      </w:r>
    </w:p>
    <w:p w14:paraId="08A96016" w14:textId="77777777" w:rsidR="00D06CE0" w:rsidRPr="00392D3F" w:rsidRDefault="00D06CE0" w:rsidP="00D06CE0">
      <w:pPr>
        <w:pStyle w:val="text"/>
        <w:spacing w:line="360" w:lineRule="auto"/>
        <w:jc w:val="left"/>
        <w:rPr>
          <w:rStyle w:val="LatinChar"/>
          <w:rFonts w:ascii="Arial" w:hAnsi="Arial" w:cs="Arial"/>
          <w:sz w:val="24"/>
          <w:lang w:val="en-GB"/>
        </w:rPr>
      </w:pPr>
      <w:r w:rsidRPr="00392D3F">
        <w:rPr>
          <w:rStyle w:val="LatinChar"/>
          <w:rFonts w:ascii="Arial" w:hAnsi="Arial" w:cs="Arial"/>
          <w:sz w:val="24"/>
          <w:lang w:val="en-GB"/>
        </w:rPr>
        <w:t>A verdict can be presented according to several levels of detail: at the level of the court judgement alone, at the level of the court case, at the level of an investigation file and at the level of the specific offence.</w:t>
      </w:r>
    </w:p>
    <w:p w14:paraId="64D7ECCE" w14:textId="77777777" w:rsidR="00D06CE0" w:rsidRPr="00392D3F" w:rsidRDefault="00D06CE0" w:rsidP="00D06CE0">
      <w:pPr>
        <w:pStyle w:val="text"/>
        <w:spacing w:line="360" w:lineRule="auto"/>
        <w:jc w:val="left"/>
        <w:rPr>
          <w:rStyle w:val="LatinChar"/>
          <w:rFonts w:ascii="Arial" w:hAnsi="Arial" w:cs="Arial"/>
          <w:sz w:val="24"/>
          <w:lang w:val="en-GB"/>
        </w:rPr>
      </w:pPr>
      <w:r w:rsidRPr="00392D3F">
        <w:rPr>
          <w:rStyle w:val="LatinChar"/>
          <w:rFonts w:ascii="Arial" w:hAnsi="Arial" w:cs="Arial"/>
          <w:sz w:val="24"/>
          <w:lang w:val="en-GB"/>
        </w:rPr>
        <w:t xml:space="preserve">The calculated decision for a verdict is determined upwards from the level of the offence to the level of the court judgement. A calculated decision will be considered to be a conviction if there was a conviction at least at one of the levels. In all other cases, the decision will be recorded as a non-conviction. </w:t>
      </w:r>
    </w:p>
    <w:p w14:paraId="4AA4793F" w14:textId="77777777" w:rsidR="00D06CE0" w:rsidRPr="007F303A" w:rsidRDefault="00D06CE0" w:rsidP="00D06CE0">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 xml:space="preserve">Non-conviction: </w:t>
      </w:r>
      <w:r w:rsidRPr="007F303A">
        <w:rPr>
          <w:rStyle w:val="LatinChar"/>
          <w:rFonts w:ascii="Arial" w:hAnsi="Arial" w:cs="Arial"/>
          <w:sz w:val="24"/>
          <w:lang w:val="en-GB"/>
        </w:rPr>
        <w:t>includes persons who were acquitted or acquitted on grounds of reasonable doubt. In addition, persons who were found unfit to stand trial or who were not criminally liable due to mental illness or mental disability, as well as convicted persons whose convictions were quashed are also included.</w:t>
      </w:r>
    </w:p>
    <w:p w14:paraId="22CC3AA2" w14:textId="77777777" w:rsidR="00D06CE0" w:rsidRPr="007F303A" w:rsidRDefault="00D06CE0" w:rsidP="00D06CE0">
      <w:pPr>
        <w:pStyle w:val="text"/>
        <w:spacing w:line="360" w:lineRule="auto"/>
        <w:jc w:val="left"/>
        <w:rPr>
          <w:rStyle w:val="LatinChar"/>
          <w:rFonts w:ascii="Arial" w:hAnsi="Arial" w:cs="Arial"/>
          <w:sz w:val="24"/>
          <w:lang w:val="en-GB"/>
        </w:rPr>
      </w:pPr>
      <w:r w:rsidRPr="007F303A">
        <w:rPr>
          <w:rStyle w:val="LatinChar"/>
          <w:rFonts w:ascii="Arial" w:hAnsi="Arial" w:cs="Arial"/>
          <w:sz w:val="24"/>
          <w:lang w:val="en-GB"/>
        </w:rPr>
        <w:t>The procedure for quashing convictions refers to criminal trials in which before sentencing, the court imposed a probation order or a community service order while quashing the conviction - according to paragraph 192A of the criminal legal procedure act [integrated version] 1982.</w:t>
      </w:r>
    </w:p>
    <w:p w14:paraId="0FF21D0A" w14:textId="77777777" w:rsidR="00D06CE0" w:rsidRPr="007F303A" w:rsidRDefault="00D06CE0" w:rsidP="00D06CE0">
      <w:pPr>
        <w:bidi w:val="0"/>
        <w:spacing w:after="120" w:line="360" w:lineRule="auto"/>
        <w:rPr>
          <w:rFonts w:ascii="Calibri" w:eastAsia="Calibri" w:hAnsi="Calibri" w:cs="Arial"/>
          <w:b w:val="0"/>
          <w:bCs w:val="0"/>
          <w:sz w:val="36"/>
          <w:szCs w:val="36"/>
          <w:rtl/>
          <w:lang w:val="en-GB" w:eastAsia="en-US"/>
        </w:rPr>
      </w:pPr>
      <w:r w:rsidRPr="007F303A">
        <w:rPr>
          <w:rStyle w:val="LatinChar"/>
          <w:rFonts w:ascii="Arial" w:hAnsi="Arial" w:cs="Arial"/>
          <w:szCs w:val="24"/>
          <w:lang w:val="en-GB"/>
        </w:rPr>
        <w:t xml:space="preserve">Recidivists: </w:t>
      </w:r>
      <w:r w:rsidRPr="007F303A">
        <w:rPr>
          <w:rStyle w:val="LatinChar"/>
          <w:rFonts w:ascii="Arial" w:hAnsi="Arial" w:cs="Arial"/>
          <w:b w:val="0"/>
          <w:bCs w:val="0"/>
          <w:szCs w:val="24"/>
          <w:lang w:val="en-GB"/>
        </w:rPr>
        <w:t>Persons who had been convicted of two or more offences by the end of the reference year. Newly accused persons and newly convicted persons are those who by the end of the reference year had been convicted only once, even if that conviction was for more than one offence. Persons whose previous conviction was expunged from their record after they served their sentence are also considered new offenders.</w:t>
      </w:r>
    </w:p>
    <w:p w14:paraId="5650C759" w14:textId="77777777" w:rsidR="00D06CE0" w:rsidRPr="007F303A" w:rsidRDefault="00D06CE0" w:rsidP="00D06CE0">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Criminal offence:</w:t>
      </w:r>
      <w:r w:rsidRPr="007F303A">
        <w:rPr>
          <w:rStyle w:val="LatinChar"/>
          <w:rFonts w:ascii="Arial" w:hAnsi="Arial" w:cs="Arial"/>
          <w:sz w:val="24"/>
          <w:lang w:val="en-GB"/>
        </w:rPr>
        <w:t xml:space="preserve"> A criminal incident involving a violation of a paragraph of the law, for which a person was charged for committing an offence. In statistical analyses where the individual is represented by a single offence, the type of offence is determined by the most severe paragraph of the law for which the person was charged and convicted, by the maximum penalty that may be imposed by law, and based on the classification of criminal offences defined by the Israel Police.</w:t>
      </w:r>
    </w:p>
    <w:p w14:paraId="73FC7C71" w14:textId="77777777" w:rsidR="00D06CE0" w:rsidRPr="007F303A" w:rsidRDefault="00D06CE0" w:rsidP="00BE7F82">
      <w:pPr>
        <w:pStyle w:val="text"/>
        <w:spacing w:before="120" w:line="360" w:lineRule="auto"/>
        <w:jc w:val="left"/>
        <w:rPr>
          <w:rStyle w:val="LatinChar"/>
          <w:rFonts w:ascii="Arial" w:hAnsi="Arial" w:cs="Arial"/>
          <w:sz w:val="24"/>
          <w:lang w:val="en-GB"/>
        </w:rPr>
      </w:pPr>
      <w:r w:rsidRPr="007F303A">
        <w:rPr>
          <w:rStyle w:val="LatinChar"/>
          <w:rFonts w:ascii="Arial" w:hAnsi="Arial" w:cs="Arial"/>
          <w:b/>
          <w:bCs/>
          <w:sz w:val="24"/>
          <w:lang w:val="en-GB"/>
        </w:rPr>
        <w:t>Classification of offences according to the Israel Police classification</w:t>
      </w:r>
      <w:r w:rsidRPr="007F303A">
        <w:rPr>
          <w:rStyle w:val="LatinChar"/>
          <w:rFonts w:ascii="Arial" w:hAnsi="Arial" w:cs="Arial"/>
          <w:sz w:val="24"/>
          <w:lang w:val="en-GB"/>
        </w:rPr>
        <w:t xml:space="preserve">: </w:t>
      </w:r>
    </w:p>
    <w:p w14:paraId="383EF675"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Offences against the security of the state</w:t>
      </w:r>
      <w:r w:rsidRPr="007F303A">
        <w:rPr>
          <w:rStyle w:val="LatinChar"/>
          <w:rFonts w:ascii="Arial" w:hAnsi="Arial" w:cs="Arial"/>
          <w:sz w:val="24"/>
          <w:lang w:val="en-GB"/>
        </w:rPr>
        <w:t xml:space="preserve">: Treason and espionage; rebellion and incitement to rebellion; offences against Emergency Laws; infiltration; transmitting state secrets. </w:t>
      </w:r>
    </w:p>
    <w:p w14:paraId="6281C6A3"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Offences against the public order</w:t>
      </w:r>
      <w:r w:rsidRPr="007F303A">
        <w:rPr>
          <w:rStyle w:val="LatinChar"/>
          <w:rFonts w:ascii="Arial" w:hAnsi="Arial" w:cs="Arial"/>
          <w:sz w:val="24"/>
          <w:lang w:val="en-GB"/>
        </w:rPr>
        <w:t xml:space="preserve">: Obstructing a public worker; assaulting or obstructing a police officer; altercations and disturbances on the streets or in institutions; threats; bribery; illegal gatherings and assembly; noise disturbances or road blocking; trespassing; offences against the Law of Entry into Israel. </w:t>
      </w:r>
    </w:p>
    <w:p w14:paraId="27AE36C7" w14:textId="255600BF" w:rsidR="00D06CE0" w:rsidRPr="007F303A" w:rsidRDefault="00D06CE0" w:rsidP="00BE7F82">
      <w:pPr>
        <w:pStyle w:val="text"/>
        <w:spacing w:line="360" w:lineRule="auto"/>
        <w:jc w:val="left"/>
        <w:rPr>
          <w:rStyle w:val="LatinChar"/>
          <w:rFonts w:ascii="Arial" w:hAnsi="Arial" w:cs="Arial"/>
          <w:sz w:val="24"/>
          <w:rtl/>
          <w:lang w:val="en-GB"/>
        </w:rPr>
      </w:pPr>
      <w:r w:rsidRPr="00275A7D">
        <w:rPr>
          <w:rStyle w:val="LatinChar"/>
          <w:rFonts w:ascii="Arial" w:hAnsi="Arial" w:cs="Arial"/>
          <w:b/>
          <w:bCs/>
          <w:sz w:val="24"/>
          <w:lang w:val="en-GB"/>
        </w:rPr>
        <w:t>Offences against a person’s life</w:t>
      </w:r>
      <w:r w:rsidRPr="00275A7D">
        <w:rPr>
          <w:rStyle w:val="LatinChar"/>
          <w:rFonts w:ascii="Arial" w:hAnsi="Arial" w:cs="Arial"/>
          <w:sz w:val="24"/>
          <w:lang w:val="en-GB"/>
        </w:rPr>
        <w:t>: Murder; attempted murder; manslaughter; negligence causing death; threats of murder or manslaughter.</w:t>
      </w:r>
      <w:r w:rsidRPr="007F303A">
        <w:rPr>
          <w:rStyle w:val="LatinChar"/>
          <w:rFonts w:ascii="Arial" w:hAnsi="Arial" w:cs="Arial"/>
          <w:sz w:val="24"/>
          <w:lang w:val="en-GB"/>
        </w:rPr>
        <w:t xml:space="preserve"> </w:t>
      </w:r>
    </w:p>
    <w:p w14:paraId="5E8D0E5A"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Offences of bodily harm</w:t>
      </w:r>
      <w:r w:rsidRPr="007F303A">
        <w:rPr>
          <w:rStyle w:val="LatinChar"/>
          <w:rFonts w:ascii="Arial" w:hAnsi="Arial" w:cs="Arial"/>
          <w:sz w:val="24"/>
          <w:lang w:val="en-GB"/>
        </w:rPr>
        <w:t xml:space="preserve">: Severe bodily injury; assault; kidnapping; coercion and false imprisonment. </w:t>
      </w:r>
    </w:p>
    <w:p w14:paraId="646C6989"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Sexual offences</w:t>
      </w:r>
      <w:r w:rsidRPr="007F303A">
        <w:rPr>
          <w:rStyle w:val="LatinChar"/>
          <w:rFonts w:ascii="Arial" w:hAnsi="Arial" w:cs="Arial"/>
          <w:sz w:val="24"/>
          <w:lang w:val="en-GB"/>
        </w:rPr>
        <w:t xml:space="preserve">: Rape; indecent acts; transmitting a STD; sexual harassment. </w:t>
      </w:r>
    </w:p>
    <w:p w14:paraId="2E199A9E"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Offences against morality</w:t>
      </w:r>
      <w:r w:rsidRPr="007F303A">
        <w:rPr>
          <w:rStyle w:val="LatinChar"/>
          <w:rFonts w:ascii="Arial" w:hAnsi="Arial" w:cs="Arial"/>
          <w:sz w:val="24"/>
          <w:lang w:val="en-GB"/>
        </w:rPr>
        <w:t xml:space="preserve">: Prostitution offences and drug offences. </w:t>
      </w:r>
    </w:p>
    <w:p w14:paraId="274D5DD1"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Offences against property</w:t>
      </w:r>
      <w:r w:rsidRPr="007F303A">
        <w:rPr>
          <w:rStyle w:val="LatinChar"/>
          <w:rFonts w:ascii="Arial" w:hAnsi="Arial" w:cs="Arial"/>
          <w:sz w:val="24"/>
          <w:lang w:val="en-GB"/>
        </w:rPr>
        <w:t xml:space="preserve">: Robbery; extortion; assault for the sake of theft; breaking and entering into businesses, institutions or dwellings; bicycle theft; car theft; pickpocketing; malicious cause of damage to property. </w:t>
      </w:r>
    </w:p>
    <w:p w14:paraId="5E14DA2A"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Fraud</w:t>
      </w:r>
      <w:r w:rsidRPr="007F303A">
        <w:rPr>
          <w:rStyle w:val="LatinChar"/>
          <w:rFonts w:ascii="Arial" w:hAnsi="Arial" w:cs="Arial"/>
          <w:sz w:val="24"/>
          <w:lang w:val="en-GB"/>
        </w:rPr>
        <w:t xml:space="preserve">: Counterfeiting of documents or money; issuance of a check without sufficient funds. </w:t>
      </w:r>
    </w:p>
    <w:p w14:paraId="610262C9"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Economic offences</w:t>
      </w:r>
      <w:r w:rsidRPr="007F303A">
        <w:rPr>
          <w:rStyle w:val="LatinChar"/>
          <w:rFonts w:ascii="Arial" w:hAnsi="Arial" w:cs="Arial"/>
          <w:sz w:val="24"/>
          <w:lang w:val="en-GB"/>
        </w:rPr>
        <w:t xml:space="preserve">: Fiscal and economic offences. </w:t>
      </w:r>
    </w:p>
    <w:p w14:paraId="33949795" w14:textId="77777777" w:rsidR="00D06CE0" w:rsidRPr="007F303A" w:rsidRDefault="00D06CE0" w:rsidP="00BE7F82">
      <w:pPr>
        <w:pStyle w:val="text"/>
        <w:spacing w:line="360" w:lineRule="auto"/>
        <w:jc w:val="left"/>
        <w:rPr>
          <w:rStyle w:val="LatinChar"/>
          <w:rFonts w:ascii="Arial" w:hAnsi="Arial" w:cs="Arial"/>
          <w:sz w:val="24"/>
          <w:lang w:val="en-GB"/>
        </w:rPr>
      </w:pPr>
      <w:r w:rsidRPr="007F303A">
        <w:rPr>
          <w:rStyle w:val="LatinChar"/>
          <w:rFonts w:ascii="Arial" w:hAnsi="Arial" w:cs="Arial"/>
          <w:b/>
          <w:bCs/>
          <w:sz w:val="24"/>
          <w:lang w:val="en-GB"/>
        </w:rPr>
        <w:t>Administrative offences</w:t>
      </w:r>
      <w:r w:rsidRPr="007F303A">
        <w:rPr>
          <w:rStyle w:val="LatinChar"/>
          <w:rFonts w:ascii="Arial" w:hAnsi="Arial" w:cs="Arial"/>
          <w:sz w:val="24"/>
          <w:lang w:val="en-GB"/>
        </w:rPr>
        <w:t xml:space="preserve">: Municipal by-laws. </w:t>
      </w:r>
    </w:p>
    <w:p w14:paraId="7156165E" w14:textId="52B1348D" w:rsidR="00892810" w:rsidRPr="00892810" w:rsidRDefault="00D06CE0" w:rsidP="00BE7F82">
      <w:pPr>
        <w:pStyle w:val="text"/>
        <w:spacing w:line="360" w:lineRule="auto"/>
        <w:jc w:val="left"/>
        <w:rPr>
          <w:rtl/>
        </w:rPr>
      </w:pPr>
      <w:r w:rsidRPr="007F303A">
        <w:rPr>
          <w:rStyle w:val="LatinChar"/>
          <w:rFonts w:ascii="Arial" w:hAnsi="Arial" w:cs="Arial"/>
          <w:b/>
          <w:bCs/>
          <w:sz w:val="24"/>
          <w:lang w:val="en-GB"/>
        </w:rPr>
        <w:t>Licensing offences</w:t>
      </w:r>
      <w:r w:rsidRPr="00D06CE0">
        <w:rPr>
          <w:rStyle w:val="LatinChar"/>
          <w:rFonts w:ascii="Arial" w:hAnsi="Arial" w:cs="Arial"/>
          <w:b/>
          <w:bCs/>
          <w:sz w:val="24"/>
          <w:lang w:val="en-GB"/>
        </w:rPr>
        <w:t xml:space="preserve">: </w:t>
      </w:r>
      <w:r w:rsidRPr="00D06CE0">
        <w:rPr>
          <w:rStyle w:val="LatinChar"/>
          <w:rFonts w:ascii="Arial" w:hAnsi="Arial" w:cs="Arial"/>
          <w:sz w:val="24"/>
          <w:lang w:val="en-GB"/>
        </w:rPr>
        <w:t>Gun and ammunition licensing; work, manufacturing and business licensing; radio and television; traffic violations; illegal construction licensing offences.</w:t>
      </w:r>
    </w:p>
    <w:sectPr w:rsidR="00892810" w:rsidRPr="00892810" w:rsidSect="007346FF">
      <w:footerReference w:type="even" r:id="rId23"/>
      <w:footerReference w:type="default" r:id="rId24"/>
      <w:headerReference w:type="first" r:id="rId25"/>
      <w:footerReference w:type="first" r:id="rId26"/>
      <w:pgSz w:w="11906" w:h="16838" w:code="9"/>
      <w:pgMar w:top="1134" w:right="748" w:bottom="1134" w:left="720"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671C" w14:textId="77777777" w:rsidR="00DC74C4" w:rsidRDefault="00DC74C4">
      <w:r>
        <w:separator/>
      </w:r>
    </w:p>
  </w:endnote>
  <w:endnote w:type="continuationSeparator" w:id="0">
    <w:p w14:paraId="5E3761C2" w14:textId="77777777" w:rsidR="00DC74C4" w:rsidRDefault="00D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SwitzerlandLight">
    <w:altName w:val="Courier New"/>
    <w:charset w:val="00"/>
    <w:family w:val="swiss"/>
    <w:pitch w:val="variable"/>
    <w:sig w:usb0="00000003" w:usb1="00000000" w:usb2="00000000" w:usb3="00000000" w:csb0="0000000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Guttman Hatzv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AC20" w14:textId="77777777" w:rsidR="00DC74C4" w:rsidRDefault="00DC74C4" w:rsidP="00F97008">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8550E23" w14:textId="77777777" w:rsidR="00DC74C4" w:rsidRDefault="00DC74C4" w:rsidP="005A76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F683" w14:textId="39D8BC3B" w:rsidR="00DC74C4" w:rsidRPr="00AD0CD4" w:rsidRDefault="00DC74C4" w:rsidP="00490CC3">
    <w:pPr>
      <w:pStyle w:val="Footer"/>
      <w:bidi w:val="0"/>
      <w:rPr>
        <w:rFonts w:ascii="Arial" w:hAnsi="Arial" w:cs="Arial"/>
      </w:rPr>
    </w:pPr>
    <w:r w:rsidRPr="00AD0CD4">
      <w:rPr>
        <w:rFonts w:ascii="Arial" w:hAnsi="Arial" w:cs="Arial"/>
      </w:rPr>
      <w:t>Christmas 20</w:t>
    </w:r>
    <w:r>
      <w:rPr>
        <w:rFonts w:ascii="Arial" w:hAnsi="Arial" w:cs="Arial"/>
      </w:rPr>
      <w:t>21</w:t>
    </w:r>
    <w:r w:rsidRPr="00AD0CD4">
      <w:rPr>
        <w:rFonts w:ascii="Arial" w:hAnsi="Arial" w:cs="Arial"/>
      </w:rPr>
      <w:t xml:space="preserve"> – Christians in Israel</w:t>
    </w:r>
    <w:r>
      <w:rPr>
        <w:rFonts w:ascii="Arial" w:hAnsi="Arial" w:cs="Arial"/>
      </w:rPr>
      <w:br/>
      <w:t>21/12/2021</w:t>
    </w:r>
  </w:p>
  <w:p w14:paraId="2828069D" w14:textId="45632377" w:rsidR="00DC74C4" w:rsidRPr="004150CC" w:rsidRDefault="000B1B17" w:rsidP="00AD0CD4">
    <w:pPr>
      <w:pStyle w:val="Footer"/>
      <w:bidi w:val="0"/>
      <w:jc w:val="right"/>
      <w:rPr>
        <w:rFonts w:ascii="Arial" w:hAnsi="Arial" w:cs="Arial"/>
        <w:b w:val="0"/>
        <w:bCs w:val="0"/>
        <w:noProof/>
      </w:rPr>
    </w:pPr>
    <w:sdt>
      <w:sdtPr>
        <w:rPr>
          <w:rFonts w:ascii="Arial" w:hAnsi="Arial" w:cs="Arial"/>
          <w:b w:val="0"/>
          <w:bCs w:val="0"/>
        </w:rPr>
        <w:id w:val="-90326758"/>
        <w:docPartObj>
          <w:docPartGallery w:val="Page Numbers (Bottom of Page)"/>
          <w:docPartUnique/>
        </w:docPartObj>
      </w:sdtPr>
      <w:sdtEndPr>
        <w:rPr>
          <w:noProof/>
        </w:rPr>
      </w:sdtEndPr>
      <w:sdtContent>
        <w:r w:rsidR="00DC74C4" w:rsidRPr="004150CC">
          <w:rPr>
            <w:rFonts w:ascii="Arial" w:hAnsi="Arial" w:cs="Arial"/>
            <w:b w:val="0"/>
            <w:bCs w:val="0"/>
          </w:rPr>
          <w:fldChar w:fldCharType="begin"/>
        </w:r>
        <w:r w:rsidR="00DC74C4" w:rsidRPr="004150CC">
          <w:rPr>
            <w:rFonts w:ascii="Arial" w:hAnsi="Arial" w:cs="Arial"/>
            <w:b w:val="0"/>
            <w:bCs w:val="0"/>
          </w:rPr>
          <w:instrText xml:space="preserve"> PAGE   \* MERGEFORMAT </w:instrText>
        </w:r>
        <w:r w:rsidR="00DC74C4" w:rsidRPr="004150CC">
          <w:rPr>
            <w:rFonts w:ascii="Arial" w:hAnsi="Arial" w:cs="Arial"/>
            <w:b w:val="0"/>
            <w:bCs w:val="0"/>
          </w:rPr>
          <w:fldChar w:fldCharType="separate"/>
        </w:r>
        <w:r>
          <w:rPr>
            <w:rFonts w:ascii="Arial" w:hAnsi="Arial" w:cs="Arial"/>
            <w:b w:val="0"/>
            <w:bCs w:val="0"/>
            <w:noProof/>
          </w:rPr>
          <w:t>2</w:t>
        </w:r>
        <w:r w:rsidR="00DC74C4" w:rsidRPr="004150CC">
          <w:rPr>
            <w:rFonts w:ascii="Arial" w:hAnsi="Arial" w:cs="Arial"/>
            <w:b w:val="0"/>
            <w:bCs w:val="0"/>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C660" w14:textId="77777777" w:rsidR="00DC74C4" w:rsidRPr="00AD0CD4" w:rsidRDefault="00DC74C4" w:rsidP="00AD0CD4">
    <w:pPr>
      <w:pStyle w:val="BodyText"/>
      <w:pBdr>
        <w:top w:val="single" w:sz="4" w:space="6" w:color="auto"/>
        <w:left w:val="single" w:sz="4" w:space="4" w:color="auto"/>
        <w:bottom w:val="single" w:sz="4" w:space="6" w:color="auto"/>
        <w:right w:val="single" w:sz="4" w:space="4" w:color="auto"/>
      </w:pBdr>
      <w:bidi w:val="0"/>
      <w:spacing w:before="120"/>
      <w:jc w:val="center"/>
      <w:rPr>
        <w:rFonts w:asciiTheme="minorBidi" w:hAnsiTheme="minorBidi" w:cstheme="minorBidi"/>
        <w:szCs w:val="24"/>
      </w:rPr>
    </w:pPr>
    <w:r w:rsidRPr="00AD0CD4">
      <w:rPr>
        <w:rFonts w:asciiTheme="minorBidi" w:hAnsiTheme="minorBidi" w:cstheme="minorBidi"/>
        <w:szCs w:val="24"/>
      </w:rPr>
      <w:t>For explanations and clarifications,</w:t>
    </w:r>
    <w:r>
      <w:rPr>
        <w:rFonts w:asciiTheme="minorBidi" w:hAnsiTheme="minorBidi" w:cstheme="minorBidi"/>
        <w:szCs w:val="24"/>
      </w:rPr>
      <w:br/>
    </w:r>
    <w:r w:rsidRPr="00AD0CD4">
      <w:rPr>
        <w:rFonts w:asciiTheme="minorBidi" w:hAnsiTheme="minorBidi" w:cstheme="minorBidi"/>
        <w:szCs w:val="24"/>
      </w:rPr>
      <w:t>please contact the Statistical Information Center</w:t>
    </w:r>
    <w:r>
      <w:rPr>
        <w:rFonts w:asciiTheme="minorBidi" w:hAnsiTheme="minorBidi" w:cstheme="minorBidi"/>
        <w:szCs w:val="24"/>
      </w:rPr>
      <w:t xml:space="preserve"> </w:t>
    </w:r>
    <w:r w:rsidRPr="00AD0CD4">
      <w:rPr>
        <w:rFonts w:asciiTheme="minorBidi" w:hAnsiTheme="minorBidi" w:cstheme="minorBidi"/>
        <w:szCs w:val="24"/>
      </w:rPr>
      <w:t>at 02-659-2666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218B9" w14:textId="77777777" w:rsidR="00DC74C4" w:rsidRPr="007846BA" w:rsidRDefault="00DC74C4" w:rsidP="007846BA">
      <w:pPr>
        <w:bidi w:val="0"/>
        <w:spacing w:before="80" w:after="80"/>
        <w:rPr>
          <w:rFonts w:asciiTheme="minorBidi" w:hAnsiTheme="minorBidi" w:cstheme="minorBidi"/>
          <w:b w:val="0"/>
          <w:bCs w:val="0"/>
        </w:rPr>
      </w:pPr>
      <w:r w:rsidRPr="007846BA">
        <w:rPr>
          <w:rFonts w:asciiTheme="minorBidi" w:hAnsiTheme="minorBidi" w:cstheme="minorBidi"/>
          <w:b w:val="0"/>
          <w:bCs w:val="0"/>
        </w:rPr>
        <w:separator/>
      </w:r>
    </w:p>
  </w:footnote>
  <w:footnote w:type="continuationSeparator" w:id="0">
    <w:p w14:paraId="4B9A5019" w14:textId="77777777" w:rsidR="00DC74C4" w:rsidRDefault="00DC74C4">
      <w:r>
        <w:continuationSeparator/>
      </w:r>
    </w:p>
  </w:footnote>
  <w:footnote w:id="1">
    <w:p w14:paraId="10E4A651" w14:textId="1CC50CC5" w:rsidR="00DC74C4" w:rsidRPr="00EF2C49" w:rsidRDefault="00DC74C4" w:rsidP="00F06DE1">
      <w:pPr>
        <w:pStyle w:val="fn1"/>
        <w:spacing w:before="0" w:after="0"/>
        <w:ind w:left="170" w:hanging="170"/>
      </w:pPr>
      <w:r w:rsidRPr="00EF2C49">
        <w:rPr>
          <w:rStyle w:val="FootnoteReference"/>
          <w:rFonts w:cstheme="minorBidi"/>
          <w:szCs w:val="24"/>
        </w:rPr>
        <w:footnoteRef/>
      </w:r>
      <w:r>
        <w:t xml:space="preserve"> </w:t>
      </w:r>
      <w:r w:rsidRPr="00EF2C49">
        <w:t>This preliminary estimate</w:t>
      </w:r>
      <w:r>
        <w:t xml:space="preserve"> for December 2021</w:t>
      </w:r>
      <w:r w:rsidRPr="00EF2C49">
        <w:t xml:space="preserve"> does not include Christians who do not appear in the Population Register (foreigners).</w:t>
      </w:r>
    </w:p>
  </w:footnote>
  <w:footnote w:id="2">
    <w:p w14:paraId="0BEB8907" w14:textId="77777777" w:rsidR="00DC74C4" w:rsidRPr="00EE0462" w:rsidRDefault="00DC74C4" w:rsidP="0010320F">
      <w:pPr>
        <w:pStyle w:val="FootnoteText"/>
      </w:pPr>
      <w:r w:rsidRPr="00EE0462">
        <w:rPr>
          <w:rStyle w:val="FootnoteReference"/>
        </w:rPr>
        <w:footnoteRef/>
      </w:r>
      <w:r w:rsidRPr="00EE0462">
        <w:t xml:space="preserve"> </w:t>
      </w:r>
      <w:r w:rsidRPr="00EE0462">
        <w:rPr>
          <w:rFonts w:hint="cs"/>
        </w:rPr>
        <w:t>F</w:t>
      </w:r>
      <w:r w:rsidRPr="00EE0462">
        <w:t>ields in which at least 100 students studied for a first degree are discussed.</w:t>
      </w:r>
    </w:p>
  </w:footnote>
  <w:footnote w:id="3">
    <w:p w14:paraId="3F61DB04" w14:textId="77777777" w:rsidR="00DC74C4" w:rsidRDefault="00DC74C4" w:rsidP="00EE0462">
      <w:pPr>
        <w:pStyle w:val="FootnoteText"/>
        <w:spacing w:after="120"/>
        <w:ind w:left="170" w:hanging="170"/>
      </w:pPr>
      <w:r w:rsidRPr="00EE0462">
        <w:rPr>
          <w:rStyle w:val="FootnoteReference"/>
        </w:rPr>
        <w:footnoteRef/>
      </w:r>
      <w:r w:rsidRPr="00EE0462">
        <w:t xml:space="preserve"> Excluding the academic colleges of education. Students studying two fields were counted in each of their fields of study. Subjects studied for a first degree by 100 or more students are discussed.</w:t>
      </w:r>
    </w:p>
  </w:footnote>
  <w:footnote w:id="4">
    <w:p w14:paraId="56135957" w14:textId="63F2DCA0" w:rsidR="00DC74C4" w:rsidRDefault="00DC74C4" w:rsidP="00FB72C7">
      <w:pPr>
        <w:pStyle w:val="FootnoteText"/>
      </w:pPr>
      <w:r>
        <w:rPr>
          <w:rStyle w:val="FootnoteReference"/>
        </w:rPr>
        <w:footnoteRef/>
      </w:r>
      <w:r>
        <w:t xml:space="preserve"> </w:t>
      </w:r>
      <w:r>
        <w:rPr>
          <w:rFonts w:hint="cs"/>
        </w:rPr>
        <w:t>N</w:t>
      </w:r>
      <w:r>
        <w:t>on-Arab Christians usually marry abroad.</w:t>
      </w:r>
    </w:p>
  </w:footnote>
  <w:footnote w:id="5">
    <w:p w14:paraId="457FB420" w14:textId="1992DCDC" w:rsidR="00DC74C4" w:rsidRPr="000A55D3" w:rsidRDefault="00DC74C4" w:rsidP="007346FF">
      <w:pPr>
        <w:pStyle w:val="fn1"/>
        <w:spacing w:before="0" w:after="120"/>
        <w:ind w:left="170" w:hanging="170"/>
      </w:pPr>
      <w:r w:rsidRPr="00A658FB">
        <w:rPr>
          <w:rStyle w:val="FootnoteReference"/>
          <w:rFonts w:cstheme="minorBidi"/>
          <w:szCs w:val="24"/>
        </w:rPr>
        <w:footnoteRef/>
      </w:r>
      <w:r w:rsidRPr="000A55D3">
        <w:t xml:space="preserve"> Including infants born in Israel to Christian women who are not Israeli residents but whose </w:t>
      </w:r>
      <w:r>
        <w:t>spouses</w:t>
      </w:r>
      <w:r w:rsidRPr="000A55D3">
        <w:t xml:space="preserve"> are Israeli </w:t>
      </w:r>
      <w:r w:rsidRPr="00AA0A51">
        <w:t>residents</w:t>
      </w:r>
      <w:r w:rsidRPr="000A55D3">
        <w:t>.</w:t>
      </w:r>
    </w:p>
  </w:footnote>
  <w:footnote w:id="6">
    <w:p w14:paraId="4F2E0471" w14:textId="77777777" w:rsidR="00DC74C4" w:rsidRDefault="00DC74C4" w:rsidP="006444BF">
      <w:pPr>
        <w:pStyle w:val="fn1"/>
        <w:spacing w:before="0" w:after="0"/>
        <w:ind w:left="170" w:hanging="170"/>
      </w:pPr>
      <w:r w:rsidRPr="000A55D3">
        <w:rPr>
          <w:rStyle w:val="FootnoteReference"/>
          <w:rFonts w:cstheme="minorBidi"/>
          <w:szCs w:val="24"/>
        </w:rPr>
        <w:footnoteRef/>
      </w:r>
      <w:r w:rsidRPr="000A55D3">
        <w:t xml:space="preserve"> A </w:t>
      </w:r>
      <w:r w:rsidRPr="000A55D3">
        <w:rPr>
          <w:b/>
          <w:bCs/>
        </w:rPr>
        <w:t>household</w:t>
      </w:r>
      <w:r w:rsidRPr="000A55D3">
        <w:t xml:space="preserve"> is defined as </w:t>
      </w:r>
      <w:r>
        <w:t>o</w:t>
      </w:r>
      <w:r w:rsidRPr="006444BF">
        <w:t>ne person or a group of persons living together in one dwelling on a permanent basis most of the week, who have a joint expense budget for food. They may be related or unrelated persons or a combination of persons both related and unrelated.</w:t>
      </w:r>
    </w:p>
    <w:p w14:paraId="336D5491" w14:textId="77777777" w:rsidR="00DC74C4" w:rsidRPr="000A55D3" w:rsidRDefault="00DC74C4" w:rsidP="00186A90">
      <w:pPr>
        <w:pStyle w:val="fn1"/>
        <w:spacing w:before="0" w:after="0"/>
        <w:ind w:left="170"/>
      </w:pPr>
      <w:r w:rsidRPr="000A55D3">
        <w:t xml:space="preserve">A </w:t>
      </w:r>
      <w:r w:rsidRPr="00CA449E">
        <w:rPr>
          <w:b/>
          <w:bCs/>
        </w:rPr>
        <w:t>family household</w:t>
      </w:r>
      <w:r w:rsidRPr="000A55D3">
        <w:t xml:space="preserve"> is </w:t>
      </w:r>
      <w:r w:rsidRPr="00186A90">
        <w:t>a household that contains at least one family. A family household can include: one family, one family with "other persons", or two families or more.</w:t>
      </w:r>
    </w:p>
    <w:p w14:paraId="04521FA3" w14:textId="182D5CEB" w:rsidR="00DC74C4" w:rsidRDefault="00DC74C4" w:rsidP="00FC3B23">
      <w:pPr>
        <w:pStyle w:val="fn1"/>
        <w:spacing w:before="0" w:after="0"/>
        <w:ind w:left="170"/>
      </w:pPr>
      <w:r w:rsidRPr="000A55D3">
        <w:t>A</w:t>
      </w:r>
      <w:r w:rsidRPr="000A55D3">
        <w:rPr>
          <w:b/>
          <w:bCs/>
        </w:rPr>
        <w:t xml:space="preserve"> family</w:t>
      </w:r>
      <w:r w:rsidRPr="000A55D3">
        <w:t xml:space="preserve"> </w:t>
      </w:r>
      <w:r>
        <w:t xml:space="preserve">(a nuclear family) </w:t>
      </w:r>
      <w:r w:rsidRPr="000A55D3">
        <w:t xml:space="preserve">is defined as two or more persons who share the same household and are related to one another </w:t>
      </w:r>
      <w:r>
        <w:t>as a married or</w:t>
      </w:r>
      <w:r w:rsidRPr="000A55D3">
        <w:t xml:space="preserve"> unmarried couple</w:t>
      </w:r>
      <w:r>
        <w:t xml:space="preserve"> (including same-sex couples)</w:t>
      </w:r>
      <w:r w:rsidRPr="000A55D3">
        <w:t>, or as parent and child</w:t>
      </w:r>
      <w:r>
        <w:t xml:space="preserve"> (including an adopted child)</w:t>
      </w:r>
      <w:r w:rsidRPr="000A55D3">
        <w:t xml:space="preserve">. The major types of families are a couple only, a couple with children (in various age groups, defined by the age of the youngest child), or a </w:t>
      </w:r>
      <w:r>
        <w:t>lone</w:t>
      </w:r>
      <w:r w:rsidRPr="000A55D3">
        <w:t xml:space="preserve"> parent (a </w:t>
      </w:r>
      <w:r>
        <w:t>lone-parent family) with children. Other types of families that have been defined are: a grandparent with grandchildren, without the children’s parents; and siblings who live together, without spouses and without children.</w:t>
      </w:r>
    </w:p>
    <w:p w14:paraId="5D946556" w14:textId="763749CB" w:rsidR="00DC74C4" w:rsidRPr="000A55D3" w:rsidRDefault="00DC74C4" w:rsidP="0060158A">
      <w:pPr>
        <w:pStyle w:val="fn1"/>
        <w:spacing w:before="0" w:after="120"/>
        <w:ind w:left="170"/>
      </w:pPr>
      <w:r>
        <w:t>The d</w:t>
      </w:r>
      <w:r w:rsidRPr="000A55D3">
        <w:t>ata on households and families are based on the Labour Force Survey 20</w:t>
      </w:r>
      <w:r>
        <w:t>20</w:t>
      </w:r>
      <w:r w:rsidRPr="000A55D3">
        <w:t xml:space="preserve">. The data do not include </w:t>
      </w:r>
      <w:r>
        <w:t>persons</w:t>
      </w:r>
      <w:r w:rsidRPr="000A55D3">
        <w:t xml:space="preserve"> living in institutions, kibbutzim, </w:t>
      </w:r>
      <w:r>
        <w:t xml:space="preserve">or </w:t>
      </w:r>
      <w:r w:rsidRPr="000A55D3">
        <w:t>student dormitories</w:t>
      </w:r>
      <w:r>
        <w:t>,</w:t>
      </w:r>
      <w:r w:rsidRPr="000A55D3">
        <w:t xml:space="preserve"> </w:t>
      </w:r>
      <w:r>
        <w:t>or</w:t>
      </w:r>
      <w:r w:rsidRPr="000A55D3">
        <w:t xml:space="preserve"> persons living outside localities (Bedouin in the South).</w:t>
      </w:r>
    </w:p>
  </w:footnote>
  <w:footnote w:id="7">
    <w:p w14:paraId="21008C21" w14:textId="77777777" w:rsidR="00DC74C4" w:rsidRDefault="00DC74C4" w:rsidP="001E170E">
      <w:pPr>
        <w:pStyle w:val="fn1"/>
        <w:ind w:left="170" w:hanging="170"/>
      </w:pPr>
      <w:r>
        <w:rPr>
          <w:rStyle w:val="FootnoteReference"/>
        </w:rPr>
        <w:footnoteRef/>
      </w:r>
      <w:r>
        <w:t xml:space="preserve"> Beginning in the 2016/17 school year, the method of calculating technological/vocational education (formerly the technological track) was changed, and updated to reflect the current definitions of the Ministry of Education.</w:t>
      </w:r>
    </w:p>
  </w:footnote>
  <w:footnote w:id="8">
    <w:p w14:paraId="38D60135" w14:textId="77777777" w:rsidR="00DC74C4" w:rsidRDefault="00DC74C4" w:rsidP="00DD25C4">
      <w:pPr>
        <w:pStyle w:val="FootnoteText"/>
        <w:ind w:left="170" w:hanging="170"/>
      </w:pPr>
      <w:r w:rsidRPr="00DD25C4">
        <w:rPr>
          <w:rStyle w:val="FootnoteReference"/>
        </w:rPr>
        <w:footnoteRef/>
      </w:r>
      <w:r w:rsidRPr="00DD25C4">
        <w:t xml:space="preserve"> Until the school year of 2019/20, the calculation was made from the total of 12</w:t>
      </w:r>
      <w:r w:rsidRPr="00DD25C4">
        <w:rPr>
          <w:vertAlign w:val="superscript"/>
        </w:rPr>
        <w:t>th</w:t>
      </w:r>
      <w:r w:rsidRPr="00DD25C4">
        <w:t xml:space="preserve"> grade students and did not include students in Arab education whose religion was unknown. As of the 2019/20 school year, the rate of those entitled to a matriculation certificate is calculated from the total number of 12</w:t>
      </w:r>
      <w:r w:rsidRPr="00DD25C4">
        <w:rPr>
          <w:vertAlign w:val="superscript"/>
        </w:rPr>
        <w:t>th</w:t>
      </w:r>
      <w:r w:rsidRPr="00DD25C4">
        <w:t xml:space="preserve"> grade students, and the number of cases of unknown religion is negligible.</w:t>
      </w:r>
    </w:p>
  </w:footnote>
  <w:footnote w:id="9">
    <w:p w14:paraId="00123BCB" w14:textId="77777777" w:rsidR="00DC74C4" w:rsidRPr="000A55D3" w:rsidRDefault="00DC74C4" w:rsidP="00AC607A">
      <w:pPr>
        <w:pStyle w:val="fn1"/>
      </w:pPr>
      <w:r w:rsidRPr="000A55D3">
        <w:rPr>
          <w:rStyle w:val="FootnoteReference"/>
          <w:rFonts w:cstheme="minorBidi"/>
          <w:szCs w:val="24"/>
        </w:rPr>
        <w:footnoteRef/>
      </w:r>
      <w:r w:rsidRPr="000A55D3">
        <w:t xml:space="preserve"> Not including </w:t>
      </w:r>
      <w:r>
        <w:t>student</w:t>
      </w:r>
      <w:r w:rsidRPr="000A55D3">
        <w:t>s in schools under ultra-Orthodox supervision.</w:t>
      </w:r>
    </w:p>
  </w:footnote>
  <w:footnote w:id="10">
    <w:p w14:paraId="4333C1B4" w14:textId="1AD842CB" w:rsidR="00DC74C4" w:rsidRDefault="00DC74C4" w:rsidP="00E06F71">
      <w:pPr>
        <w:pStyle w:val="FootnoteText"/>
        <w:spacing w:after="120"/>
        <w:ind w:left="227" w:hanging="227"/>
      </w:pPr>
      <w:r w:rsidRPr="00B35B81">
        <w:rPr>
          <w:rStyle w:val="FootnoteReference"/>
        </w:rPr>
        <w:footnoteRef/>
      </w:r>
      <w:r w:rsidR="00B35B81" w:rsidRPr="00B35B81">
        <w:rPr>
          <w:rFonts w:hint="cs"/>
          <w:rtl/>
        </w:rPr>
        <w:t xml:space="preserve"> </w:t>
      </w:r>
      <w:r w:rsidRPr="00B35B81">
        <w:t xml:space="preserve">The Open University has characteristics that set it apart from other institutions of higher education. This is reflected in the admission processes of the students, </w:t>
      </w:r>
      <w:r w:rsidR="00E06F71">
        <w:t>in the course of</w:t>
      </w:r>
      <w:r w:rsidRPr="00B35B81">
        <w:t xml:space="preserve"> their studies, in the composition of the student population, and more. At the end of this </w:t>
      </w:r>
      <w:r w:rsidR="00E06F71">
        <w:t>chapter</w:t>
      </w:r>
      <w:r w:rsidRPr="00B35B81">
        <w:t xml:space="preserve"> there is a separate paragraph with the data of the Open University.</w:t>
      </w:r>
    </w:p>
  </w:footnote>
  <w:footnote w:id="11">
    <w:p w14:paraId="7B57ED8D" w14:textId="77777777" w:rsidR="00DC74C4" w:rsidRDefault="00DC74C4" w:rsidP="00E06F71">
      <w:pPr>
        <w:pStyle w:val="FootnoteText"/>
        <w:spacing w:after="120"/>
      </w:pPr>
      <w:r w:rsidRPr="00E06F71">
        <w:rPr>
          <w:rStyle w:val="FootnoteReference"/>
        </w:rPr>
        <w:footnoteRef/>
      </w:r>
      <w:r w:rsidRPr="00E06F71">
        <w:t xml:space="preserve"> </w:t>
      </w:r>
      <w:r w:rsidRPr="00E06F71">
        <w:rPr>
          <w:rFonts w:hint="cs"/>
        </w:rPr>
        <w:t>F</w:t>
      </w:r>
      <w:r w:rsidRPr="00E06F71">
        <w:t>ields in which at least 100 students studied for a first degree are discussed.</w:t>
      </w:r>
    </w:p>
  </w:footnote>
  <w:footnote w:id="12">
    <w:p w14:paraId="41A76509" w14:textId="77777777" w:rsidR="00DC74C4" w:rsidRDefault="00DC74C4" w:rsidP="00E06F71">
      <w:pPr>
        <w:pStyle w:val="FootnoteText"/>
        <w:ind w:left="227" w:hanging="227"/>
      </w:pPr>
      <w:r w:rsidRPr="00E06F71">
        <w:rPr>
          <w:rStyle w:val="FootnoteReference"/>
        </w:rPr>
        <w:footnoteRef/>
      </w:r>
      <w:r w:rsidRPr="00E06F71">
        <w:t xml:space="preserve"> Excluding the academic colleges of education. Students studying two fields were counted in each of their fields of study. Subjects studied for a first degree by 100 or more students are discussed.</w:t>
      </w:r>
    </w:p>
  </w:footnote>
  <w:footnote w:id="13">
    <w:p w14:paraId="4B0E17EE" w14:textId="50BFA3D1" w:rsidR="00DC74C4" w:rsidRDefault="00DC74C4" w:rsidP="00447668">
      <w:pPr>
        <w:pStyle w:val="fn1"/>
        <w:ind w:left="227" w:hanging="227"/>
      </w:pPr>
      <w:r>
        <w:rPr>
          <w:rStyle w:val="FootnoteReference"/>
        </w:rPr>
        <w:footnoteRef/>
      </w:r>
      <w:r>
        <w:t xml:space="preserve"> The data cited in this section were processed by the Central Bureau of Statistics on the basis of a file of basic data of the Ministry of </w:t>
      </w:r>
      <w:r w:rsidR="00447668">
        <w:t>Welfare and</w:t>
      </w:r>
      <w:r w:rsidR="00447668" w:rsidRPr="00151752">
        <w:t xml:space="preserve"> </w:t>
      </w:r>
      <w:r w:rsidR="00447668">
        <w:t>Social Affairs</w:t>
      </w:r>
      <w:r>
        <w:t>. The file includes statistics about families that are registered in the departments of social services.</w:t>
      </w:r>
    </w:p>
  </w:footnote>
  <w:footnote w:id="14">
    <w:p w14:paraId="76B8D63B" w14:textId="77777777" w:rsidR="00DC74C4" w:rsidRDefault="00DC74C4" w:rsidP="007B68D4">
      <w:pPr>
        <w:pStyle w:val="fn1"/>
        <w:ind w:left="227" w:hanging="227"/>
      </w:pPr>
      <w:r>
        <w:rPr>
          <w:rStyle w:val="FootnoteReference"/>
        </w:rPr>
        <w:footnoteRef/>
      </w:r>
      <w:r>
        <w:t xml:space="preserve"> </w:t>
      </w:r>
      <w:r w:rsidRPr="00A21AEA">
        <w:rPr>
          <w:rStyle w:val="FootnoteReference"/>
          <w:vertAlign w:val="baseline"/>
        </w:rPr>
        <w:t xml:space="preserve">A file is opened for every family or person who applies or </w:t>
      </w:r>
      <w:r>
        <w:rPr>
          <w:rStyle w:val="FootnoteReference"/>
          <w:vertAlign w:val="baseline"/>
        </w:rPr>
        <w:t xml:space="preserve">is </w:t>
      </w:r>
      <w:r w:rsidRPr="00A21AEA">
        <w:rPr>
          <w:rStyle w:val="FootnoteReference"/>
          <w:vertAlign w:val="baseline"/>
        </w:rPr>
        <w:t>referred to social departments, and at least one family member must be defined as needing intervention.</w:t>
      </w:r>
    </w:p>
  </w:footnote>
  <w:footnote w:id="15">
    <w:p w14:paraId="2BFF8E4B" w14:textId="77777777" w:rsidR="00DC74C4" w:rsidRDefault="00DC74C4" w:rsidP="007B68D4">
      <w:pPr>
        <w:pStyle w:val="FootnoteText"/>
        <w:ind w:left="227" w:hanging="227"/>
      </w:pPr>
      <w:r>
        <w:rPr>
          <w:rStyle w:val="FootnoteReference"/>
        </w:rPr>
        <w:footnoteRef/>
      </w:r>
      <w:r>
        <w:t xml:space="preserve"> Need for intervention: The reason why the individual applied, or was referred to, the social-services departments. The social worker who is working with the family indicates, for each person noted in the treatment file, his or her main area of neediness and that of his or her family, of a set list of 58 categories of need for intervention (including “normal” need for intervention). The social worker may also indicate a secondary category of neediness for the individual or for his or her family.</w:t>
      </w:r>
    </w:p>
  </w:footnote>
  <w:footnote w:id="16">
    <w:p w14:paraId="0602ACA4" w14:textId="77777777" w:rsidR="00DC74C4" w:rsidRDefault="00DC74C4" w:rsidP="003E145D">
      <w:pPr>
        <w:pStyle w:val="fn1"/>
        <w:ind w:left="227" w:hanging="227"/>
      </w:pPr>
      <w:r>
        <w:rPr>
          <w:rStyle w:val="FootnoteReference"/>
        </w:rPr>
        <w:footnoteRef/>
      </w:r>
      <w:r>
        <w:t xml:space="preserve"> This need for intervention includes problems with the parent-child relationship, dysfunctional mother or father, children’s educational or behavioral problems, adolescent girls in distress, abandoned children, etc.</w:t>
      </w:r>
    </w:p>
  </w:footnote>
  <w:footnote w:id="17">
    <w:p w14:paraId="2FA5B771" w14:textId="5EC96BFD" w:rsidR="00DC74C4" w:rsidRDefault="00DC74C4" w:rsidP="00447668">
      <w:pPr>
        <w:pStyle w:val="fn1"/>
        <w:ind w:left="227" w:hanging="227"/>
      </w:pPr>
      <w:r>
        <w:rPr>
          <w:rStyle w:val="FootnoteReference"/>
        </w:rPr>
        <w:footnoteRef/>
      </w:r>
      <w:r>
        <w:t xml:space="preserve"> </w:t>
      </w:r>
      <w:r w:rsidRPr="001167BE">
        <w:t xml:space="preserve">The data presented in this section were processed at the CBS on the basis of </w:t>
      </w:r>
      <w:r>
        <w:t xml:space="preserve">files of </w:t>
      </w:r>
      <w:r w:rsidRPr="001167BE">
        <w:t>framework</w:t>
      </w:r>
      <w:r>
        <w:t>s</w:t>
      </w:r>
      <w:r w:rsidRPr="001167BE">
        <w:t xml:space="preserve"> and names of the </w:t>
      </w:r>
      <w:r>
        <w:t xml:space="preserve">Ministry of </w:t>
      </w:r>
      <w:r w:rsidR="00447668">
        <w:t>Welfare and</w:t>
      </w:r>
      <w:r w:rsidR="00447668" w:rsidRPr="00151752">
        <w:t xml:space="preserve"> </w:t>
      </w:r>
      <w:r w:rsidR="00447668">
        <w:t>Social Affairs</w:t>
      </w:r>
      <w:r w:rsidRPr="001167BE">
        <w:t xml:space="preserve">. The files include data on persons placed in out-of-home </w:t>
      </w:r>
      <w:r>
        <w:t>social service</w:t>
      </w:r>
      <w:r w:rsidRPr="001167BE">
        <w:t xml:space="preserve"> frameworks and in community </w:t>
      </w:r>
      <w:r>
        <w:t>frameworks</w:t>
      </w:r>
      <w:r w:rsidRPr="001167BE">
        <w:t>.</w:t>
      </w:r>
    </w:p>
  </w:footnote>
  <w:footnote w:id="18">
    <w:p w14:paraId="037B35CF" w14:textId="7B150CE4" w:rsidR="00DC74C4" w:rsidRDefault="00DC74C4" w:rsidP="00447668">
      <w:pPr>
        <w:pStyle w:val="fn1"/>
        <w:ind w:left="227" w:hanging="227"/>
      </w:pPr>
      <w:r>
        <w:rPr>
          <w:rStyle w:val="FootnoteReference"/>
        </w:rPr>
        <w:footnoteRef/>
      </w:r>
      <w:r>
        <w:t xml:space="preserve"> </w:t>
      </w:r>
      <w:r w:rsidRPr="00B51F7D">
        <w:t>Placed in the community</w:t>
      </w:r>
      <w:r>
        <w:t xml:space="preserve"> framework refers to </w:t>
      </w:r>
      <w:r w:rsidRPr="00B51F7D">
        <w:t xml:space="preserve">a person who continues to live with his natural family and receives community services and support in accordance with the </w:t>
      </w:r>
      <w:r w:rsidRPr="009A063B">
        <w:rPr>
          <w:rFonts w:ascii="Arial" w:eastAsiaTheme="minorHAnsi" w:hAnsi="Arial" w:cs="Arial"/>
        </w:rPr>
        <w:t>"Looking Towards the Community"</w:t>
      </w:r>
      <w:r w:rsidRPr="009A063B">
        <w:rPr>
          <w:sz w:val="32"/>
          <w:szCs w:val="32"/>
        </w:rPr>
        <w:t xml:space="preserve"> </w:t>
      </w:r>
      <w:r w:rsidRPr="00B51F7D">
        <w:t xml:space="preserve">policy </w:t>
      </w:r>
      <w:r>
        <w:t xml:space="preserve">of the Ministry of </w:t>
      </w:r>
      <w:r w:rsidR="00447668">
        <w:t>Welfare and</w:t>
      </w:r>
      <w:r w:rsidR="00447668" w:rsidRPr="00151752">
        <w:t xml:space="preserve"> </w:t>
      </w:r>
      <w:r w:rsidR="00447668">
        <w:t>Social Affairs</w:t>
      </w:r>
      <w:r w:rsidRPr="00A179EB">
        <w:t xml:space="preserve">. Examples of community frameworks are: day care centers, </w:t>
      </w:r>
      <w:r w:rsidRPr="00A179EB">
        <w:rPr>
          <w:rFonts w:eastAsiaTheme="minorHAnsi"/>
        </w:rPr>
        <w:t>after-school child care programs</w:t>
      </w:r>
      <w:r w:rsidRPr="00A179EB">
        <w:t xml:space="preserve">, day care in a home settings, parent and child centers, and centers for the </w:t>
      </w:r>
      <w:r w:rsidRPr="00B51F7D">
        <w:t>prevention</w:t>
      </w:r>
      <w:r>
        <w:t xml:space="preserve"> of </w:t>
      </w:r>
      <w:r w:rsidRPr="00B51F7D">
        <w:t>violence.</w:t>
      </w:r>
    </w:p>
  </w:footnote>
  <w:footnote w:id="19">
    <w:p w14:paraId="28CBEBD1" w14:textId="77777777" w:rsidR="00DC74C4" w:rsidRDefault="00DC74C4" w:rsidP="007B68D4">
      <w:pPr>
        <w:pStyle w:val="fn1"/>
        <w:ind w:left="227" w:hanging="227"/>
      </w:pPr>
      <w:r>
        <w:rPr>
          <w:rStyle w:val="FootnoteReference"/>
        </w:rPr>
        <w:footnoteRef/>
      </w:r>
      <w:r>
        <w:t xml:space="preserve"> </w:t>
      </w:r>
      <w:r w:rsidRPr="00AB7595">
        <w:t xml:space="preserve">Placed in an out-of-home </w:t>
      </w:r>
      <w:r>
        <w:t xml:space="preserve">framework refers to </w:t>
      </w:r>
      <w:r w:rsidRPr="00AB7595">
        <w:t>a person who is unable to live with his family due to his</w:t>
      </w:r>
      <w:r>
        <w:t xml:space="preserve"> own</w:t>
      </w:r>
      <w:r w:rsidRPr="00AB7595">
        <w:t xml:space="preserve"> exposure or exposure</w:t>
      </w:r>
      <w:r>
        <w:t xml:space="preserve"> of his</w:t>
      </w:r>
      <w:r w:rsidRPr="00AB7595">
        <w:t xml:space="preserve"> family</w:t>
      </w:r>
      <w:r w:rsidRPr="00A179EB">
        <w:t xml:space="preserve"> </w:t>
      </w:r>
      <w:r w:rsidRPr="00AB7595">
        <w:t xml:space="preserve">to situations </w:t>
      </w:r>
      <w:r>
        <w:t xml:space="preserve">of </w:t>
      </w:r>
      <w:r w:rsidRPr="00AB7595">
        <w:t xml:space="preserve">distress and </w:t>
      </w:r>
      <w:r>
        <w:t>risk</w:t>
      </w:r>
      <w:r w:rsidRPr="00AB7595">
        <w:t xml:space="preserve">. Examples of out-of-home </w:t>
      </w:r>
      <w:r>
        <w:t>frameworks are</w:t>
      </w:r>
      <w:r w:rsidRPr="00AB7595">
        <w:t>: foster famil</w:t>
      </w:r>
      <w:r>
        <w:t>ies</w:t>
      </w:r>
      <w:r w:rsidRPr="00AB7595">
        <w:t>, shelter</w:t>
      </w:r>
      <w:r>
        <w:t>s</w:t>
      </w:r>
      <w:r w:rsidRPr="00AB7595">
        <w:t>, boarding school</w:t>
      </w:r>
      <w:r>
        <w:t>s</w:t>
      </w:r>
      <w:r w:rsidRPr="00AB7595">
        <w:t>, emergency center</w:t>
      </w:r>
      <w:r>
        <w:t>s</w:t>
      </w:r>
      <w:r w:rsidRPr="00AB7595">
        <w:t>,</w:t>
      </w:r>
      <w:r>
        <w:t xml:space="preserve"> and</w:t>
      </w:r>
      <w:r w:rsidRPr="00AB7595">
        <w:t xml:space="preserve"> nursing home</w:t>
      </w:r>
      <w:r>
        <w:t>s</w:t>
      </w:r>
      <w:r w:rsidRPr="00AB7595">
        <w:t>.</w:t>
      </w:r>
    </w:p>
  </w:footnote>
  <w:footnote w:id="20">
    <w:p w14:paraId="3B5ACFE3" w14:textId="77777777" w:rsidR="00DC74C4" w:rsidRDefault="00DC74C4" w:rsidP="00DD66B2">
      <w:pPr>
        <w:pStyle w:val="FootnoteText"/>
        <w:spacing w:after="120"/>
        <w:ind w:left="227" w:hanging="227"/>
      </w:pPr>
      <w:r>
        <w:rPr>
          <w:rStyle w:val="FootnoteReference"/>
        </w:rPr>
        <w:footnoteRef/>
      </w:r>
      <w:r>
        <w:t xml:space="preserve"> Recidivists</w:t>
      </w:r>
      <w:r w:rsidRPr="002F04A9">
        <w:t xml:space="preserve"> are </w:t>
      </w:r>
      <w:r>
        <w:t>persons judged in criminal trials</w:t>
      </w:r>
      <w:r w:rsidRPr="002F04A9">
        <w:t xml:space="preserve"> who have been convicted of two or more convictions by the end of the year under investigation. For more detailed information, see </w:t>
      </w:r>
      <w:r>
        <w:t>Definitions</w:t>
      </w:r>
      <w:r w:rsidRPr="002F04A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21F53" w14:textId="77777777" w:rsidR="002F3391" w:rsidRDefault="002F3391" w:rsidP="002F3391">
    <w:pPr>
      <w:pStyle w:val="Header"/>
      <w:bidi w:val="0"/>
      <w:rPr>
        <w:rFonts w:ascii="Arial" w:hAnsi="Arial" w:cs="Arial"/>
        <w:szCs w:val="24"/>
      </w:rPr>
    </w:pPr>
    <w:r>
      <w:rPr>
        <w:rFonts w:ascii="Arial" w:hAnsi="Arial" w:cs="Arial"/>
        <w:noProof/>
        <w:szCs w:val="24"/>
        <w:lang w:eastAsia="en-US"/>
      </w:rPr>
      <w:drawing>
        <wp:inline distT="0" distB="0" distL="0" distR="0" wp14:anchorId="502EE886" wp14:editId="329B3ED6">
          <wp:extent cx="1140460" cy="1045845"/>
          <wp:effectExtent l="0" t="0" r="2540" b="1905"/>
          <wp:docPr id="2" name="Picture 2" descr="logo central bureau of ststistics" title="logo central bureau of sts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as+eng&amp;ara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0460" cy="1045845"/>
                  </a:xfrm>
                  <a:prstGeom prst="rect">
                    <a:avLst/>
                  </a:prstGeom>
                  <a:noFill/>
                  <a:ln>
                    <a:noFill/>
                  </a:ln>
                </pic:spPr>
              </pic:pic>
            </a:graphicData>
          </a:graphic>
        </wp:inline>
      </w:drawing>
    </w:r>
  </w:p>
  <w:p w14:paraId="48C89169" w14:textId="77777777" w:rsidR="002F3391" w:rsidRPr="00C51E33" w:rsidRDefault="002F3391" w:rsidP="002F3391">
    <w:pPr>
      <w:pStyle w:val="Header"/>
      <w:bidi w:val="0"/>
      <w:jc w:val="right"/>
      <w:rPr>
        <w:rFonts w:ascii="Arial" w:hAnsi="Arial" w:cs="Arial"/>
        <w:szCs w:val="24"/>
        <w:rtl/>
      </w:rPr>
    </w:pPr>
    <w:r>
      <w:rPr>
        <w:rFonts w:ascii="Arial" w:hAnsi="Arial" w:cs="Arial"/>
        <w:szCs w:val="24"/>
      </w:rPr>
      <w:t>State of Israel</w:t>
    </w:r>
  </w:p>
  <w:p w14:paraId="517F5650" w14:textId="77777777" w:rsidR="002F3391" w:rsidRPr="00591DDE" w:rsidRDefault="002F3391" w:rsidP="002F3391">
    <w:pPr>
      <w:pStyle w:val="Header"/>
      <w:bidi w:val="0"/>
      <w:jc w:val="center"/>
      <w:rPr>
        <w:rFonts w:ascii="Arial" w:hAnsi="Arial" w:cs="Guttman Hatzvi"/>
        <w:color w:val="000080"/>
        <w:sz w:val="56"/>
        <w:szCs w:val="56"/>
        <w:rtl/>
        <w14:shadow w14:blurRad="50800" w14:dist="38100" w14:dir="2700000" w14:sx="100000" w14:sy="100000" w14:kx="0" w14:ky="0" w14:algn="tl">
          <w14:srgbClr w14:val="000000">
            <w14:alpha w14:val="60000"/>
          </w14:srgbClr>
        </w14:shadow>
      </w:rPr>
    </w:pPr>
    <w:r w:rsidRPr="00591DDE">
      <w:rPr>
        <w:rFonts w:ascii="Arial" w:hAnsi="Arial" w:cs="Guttman Hatzvi"/>
        <w:color w:val="000080"/>
        <w:sz w:val="56"/>
        <w:szCs w:val="56"/>
        <w14:shadow w14:blurRad="50800" w14:dist="38100" w14:dir="2700000" w14:sx="100000" w14:sy="100000" w14:kx="0" w14:ky="0" w14:algn="tl">
          <w14:srgbClr w14:val="000000">
            <w14:alpha w14:val="60000"/>
          </w14:srgbClr>
        </w14:shadow>
      </w:rPr>
      <w:t>Media Release</w:t>
    </w:r>
  </w:p>
  <w:p w14:paraId="1D1F2DDB" w14:textId="77777777" w:rsidR="002F3391" w:rsidRPr="00713D1E" w:rsidRDefault="000B1B17" w:rsidP="002F3391">
    <w:pPr>
      <w:pStyle w:val="Header"/>
      <w:bidi w:val="0"/>
      <w:jc w:val="center"/>
      <w:rPr>
        <w:rFonts w:ascii="Arial" w:hAnsi="Arial" w:cs="Arial"/>
        <w:b w:val="0"/>
        <w:bCs w:val="0"/>
        <w:szCs w:val="24"/>
      </w:rPr>
    </w:pPr>
    <w:hyperlink r:id="rId2" w:history="1">
      <w:r w:rsidR="002F3391" w:rsidRPr="00713D1E">
        <w:rPr>
          <w:rStyle w:val="Hyperlink"/>
          <w:rFonts w:ascii="Arial" w:hAnsi="Arial" w:cs="Arial"/>
          <w:b w:val="0"/>
          <w:bCs w:val="0"/>
          <w:szCs w:val="24"/>
        </w:rPr>
        <w:t>info@cbs.gov.il</w:t>
      </w:r>
    </w:hyperlink>
    <w:r w:rsidR="002F3391">
      <w:rPr>
        <w:rFonts w:ascii="Arial" w:hAnsi="Arial" w:cs="Arial"/>
        <w:b w:val="0"/>
        <w:bCs w:val="0"/>
        <w:szCs w:val="24"/>
      </w:rPr>
      <w:t>;</w:t>
    </w:r>
    <w:r w:rsidR="002F3391" w:rsidRPr="00713D1E">
      <w:rPr>
        <w:rFonts w:ascii="Arial" w:hAnsi="Arial" w:cs="Arial"/>
        <w:b w:val="0"/>
        <w:bCs w:val="0"/>
        <w:szCs w:val="24"/>
      </w:rPr>
      <w:t xml:space="preserve"> </w:t>
    </w:r>
    <w:hyperlink r:id="rId3" w:history="1">
      <w:r w:rsidR="002F3391" w:rsidRPr="00947E04">
        <w:rPr>
          <w:rStyle w:val="Hyperlink"/>
          <w:rFonts w:ascii="Arial" w:hAnsi="Arial" w:cs="Arial"/>
          <w:b w:val="0"/>
          <w:bCs w:val="0"/>
          <w:szCs w:val="24"/>
        </w:rPr>
        <w:t>www.cbs.gov.il</w:t>
      </w:r>
    </w:hyperlink>
    <w:r w:rsidR="002F3391" w:rsidRPr="00C91BD4">
      <w:rPr>
        <w:rFonts w:ascii="Arial" w:hAnsi="Arial" w:cs="Arial"/>
        <w:b w:val="0"/>
        <w:bCs w:val="0"/>
        <w:szCs w:val="24"/>
      </w:rPr>
      <w:t>;</w:t>
    </w:r>
    <w:r w:rsidR="002F3391" w:rsidRPr="00713D1E">
      <w:rPr>
        <w:rFonts w:ascii="Arial" w:hAnsi="Arial" w:cs="Arial"/>
        <w:b w:val="0"/>
        <w:bCs w:val="0"/>
        <w:szCs w:val="24"/>
      </w:rPr>
      <w:t xml:space="preserve"> Fax: 02-6521340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74F"/>
    <w:multiLevelType w:val="hybridMultilevel"/>
    <w:tmpl w:val="4782D724"/>
    <w:lvl w:ilvl="0" w:tplc="01D6C0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6E3613D"/>
    <w:multiLevelType w:val="hybridMultilevel"/>
    <w:tmpl w:val="EBAE3466"/>
    <w:lvl w:ilvl="0" w:tplc="B260910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67AB7"/>
    <w:multiLevelType w:val="hybridMultilevel"/>
    <w:tmpl w:val="131670FC"/>
    <w:lvl w:ilvl="0" w:tplc="04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CD57995"/>
    <w:multiLevelType w:val="hybridMultilevel"/>
    <w:tmpl w:val="6194C152"/>
    <w:lvl w:ilvl="0" w:tplc="E02ECB24">
      <w:start w:val="1"/>
      <w:numFmt w:val="bullet"/>
      <w:lvlText w:val=""/>
      <w:lvlJc w:val="left"/>
      <w:pPr>
        <w:tabs>
          <w:tab w:val="num" w:pos="720"/>
        </w:tabs>
        <w:ind w:left="720" w:right="720" w:hanging="360"/>
      </w:pPr>
      <w:rPr>
        <w:rFonts w:ascii="Symbol" w:hAnsi="Symbol" w:hint="default"/>
        <w:sz w:val="28"/>
        <w:szCs w:val="28"/>
      </w:rPr>
    </w:lvl>
    <w:lvl w:ilvl="1" w:tplc="B2609106">
      <w:start w:val="1"/>
      <w:numFmt w:val="bullet"/>
      <w:lvlText w:val=""/>
      <w:lvlJc w:val="left"/>
      <w:pPr>
        <w:tabs>
          <w:tab w:val="num" w:pos="1647"/>
        </w:tabs>
        <w:ind w:left="1647" w:hanging="567"/>
      </w:pPr>
      <w:rPr>
        <w:rFonts w:ascii="Symbol" w:hAnsi="Symbol"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965591"/>
    <w:multiLevelType w:val="multilevel"/>
    <w:tmpl w:val="F4121E5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CF3352"/>
    <w:multiLevelType w:val="hybridMultilevel"/>
    <w:tmpl w:val="211A243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067E48"/>
    <w:multiLevelType w:val="hybridMultilevel"/>
    <w:tmpl w:val="D5ACD34A"/>
    <w:lvl w:ilvl="0" w:tplc="AD308C14">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17353"/>
    <w:multiLevelType w:val="hybridMultilevel"/>
    <w:tmpl w:val="0B4E1592"/>
    <w:lvl w:ilvl="0" w:tplc="26EA20D6">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1BE55BB1"/>
    <w:multiLevelType w:val="hybridMultilevel"/>
    <w:tmpl w:val="C29EB4F2"/>
    <w:lvl w:ilvl="0" w:tplc="8A3EC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4326E2"/>
    <w:multiLevelType w:val="hybridMultilevel"/>
    <w:tmpl w:val="29CCF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7710B"/>
    <w:multiLevelType w:val="hybridMultilevel"/>
    <w:tmpl w:val="FBD6CE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A53028"/>
    <w:multiLevelType w:val="hybridMultilevel"/>
    <w:tmpl w:val="AC220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0181C"/>
    <w:multiLevelType w:val="hybridMultilevel"/>
    <w:tmpl w:val="3A82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D3D7A"/>
    <w:multiLevelType w:val="hybridMultilevel"/>
    <w:tmpl w:val="A848708C"/>
    <w:lvl w:ilvl="0" w:tplc="01BA8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6025B"/>
    <w:multiLevelType w:val="hybridMultilevel"/>
    <w:tmpl w:val="44E46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0919C5"/>
    <w:multiLevelType w:val="hybridMultilevel"/>
    <w:tmpl w:val="1212AB90"/>
    <w:lvl w:ilvl="0" w:tplc="58005D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3B9E64C3"/>
    <w:multiLevelType w:val="hybridMultilevel"/>
    <w:tmpl w:val="A5DE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66116F"/>
    <w:multiLevelType w:val="hybridMultilevel"/>
    <w:tmpl w:val="7016975E"/>
    <w:lvl w:ilvl="0" w:tplc="B2609106">
      <w:start w:val="1"/>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5E4E"/>
    <w:multiLevelType w:val="hybridMultilevel"/>
    <w:tmpl w:val="B5C022E0"/>
    <w:lvl w:ilvl="0" w:tplc="7A86EDF8">
      <w:start w:val="1"/>
      <w:numFmt w:val="bullet"/>
      <w:lvlText w:val=""/>
      <w:lvlJc w:val="left"/>
      <w:pPr>
        <w:tabs>
          <w:tab w:val="num" w:pos="1552"/>
        </w:tabs>
        <w:ind w:left="1552" w:hanging="360"/>
      </w:pPr>
      <w:rPr>
        <w:rFonts w:ascii="Symbol" w:hAnsi="Symbol"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19" w15:restartNumberingAfterBreak="0">
    <w:nsid w:val="45811F7C"/>
    <w:multiLevelType w:val="hybridMultilevel"/>
    <w:tmpl w:val="6E9CEC1E"/>
    <w:lvl w:ilvl="0" w:tplc="7854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A085D"/>
    <w:multiLevelType w:val="hybridMultilevel"/>
    <w:tmpl w:val="7222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703D6"/>
    <w:multiLevelType w:val="hybridMultilevel"/>
    <w:tmpl w:val="B4582DAA"/>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F1655FC"/>
    <w:multiLevelType w:val="hybridMultilevel"/>
    <w:tmpl w:val="CA6083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66F80"/>
    <w:multiLevelType w:val="hybridMultilevel"/>
    <w:tmpl w:val="0D745D08"/>
    <w:lvl w:ilvl="0" w:tplc="8BE41E5E">
      <w:start w:val="1"/>
      <w:numFmt w:val="bullet"/>
      <w:pStyle w:val="plain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B14D3"/>
    <w:multiLevelType w:val="hybridMultilevel"/>
    <w:tmpl w:val="0B40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25D80"/>
    <w:multiLevelType w:val="hybridMultilevel"/>
    <w:tmpl w:val="667C2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429B7"/>
    <w:multiLevelType w:val="hybridMultilevel"/>
    <w:tmpl w:val="F31862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62BB5F27"/>
    <w:multiLevelType w:val="hybridMultilevel"/>
    <w:tmpl w:val="C3C28342"/>
    <w:lvl w:ilvl="0" w:tplc="8F24F41E">
      <w:start w:val="2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80774"/>
    <w:multiLevelType w:val="hybridMultilevel"/>
    <w:tmpl w:val="46BE7200"/>
    <w:lvl w:ilvl="0" w:tplc="669A99E4">
      <w:start w:val="29"/>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9" w15:restartNumberingAfterBreak="0">
    <w:nsid w:val="67016CAA"/>
    <w:multiLevelType w:val="hybridMultilevel"/>
    <w:tmpl w:val="2BB2B978"/>
    <w:lvl w:ilvl="0" w:tplc="BCB4BB46">
      <w:start w:val="1"/>
      <w:numFmt w:val="decimal"/>
      <w:pStyle w:val="aftertablenot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F0C7677"/>
    <w:multiLevelType w:val="hybridMultilevel"/>
    <w:tmpl w:val="7BF84EC6"/>
    <w:lvl w:ilvl="0" w:tplc="FE34A4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C47267"/>
    <w:multiLevelType w:val="hybridMultilevel"/>
    <w:tmpl w:val="78AA847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2" w15:restartNumberingAfterBreak="0">
    <w:nsid w:val="6FCE0A72"/>
    <w:multiLevelType w:val="hybridMultilevel"/>
    <w:tmpl w:val="560451D2"/>
    <w:lvl w:ilvl="0" w:tplc="D0969194">
      <w:start w:val="29"/>
      <w:numFmt w:val="bullet"/>
      <w:lvlText w:val="-"/>
      <w:lvlJc w:val="left"/>
      <w:pPr>
        <w:ind w:left="1154" w:hanging="360"/>
      </w:pPr>
      <w:rPr>
        <w:rFonts w:ascii="Arial" w:eastAsia="Times New Roman" w:hAnsi="Arial" w:cs="Aria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33" w15:restartNumberingAfterBreak="0">
    <w:nsid w:val="71504CF5"/>
    <w:multiLevelType w:val="hybridMultilevel"/>
    <w:tmpl w:val="495CB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70417"/>
    <w:multiLevelType w:val="hybridMultilevel"/>
    <w:tmpl w:val="F4121E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31F337E"/>
    <w:multiLevelType w:val="hybridMultilevel"/>
    <w:tmpl w:val="E57C704E"/>
    <w:lvl w:ilvl="0" w:tplc="C6DC8960">
      <w:start w:val="1"/>
      <w:numFmt w:val="bullet"/>
      <w:pStyle w:val="bullet1"/>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67CC1"/>
    <w:multiLevelType w:val="hybridMultilevel"/>
    <w:tmpl w:val="685649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7E0B4B"/>
    <w:multiLevelType w:val="hybridMultilevel"/>
    <w:tmpl w:val="F36C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029FB"/>
    <w:multiLevelType w:val="hybridMultilevel"/>
    <w:tmpl w:val="88687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04F21"/>
    <w:multiLevelType w:val="hybridMultilevel"/>
    <w:tmpl w:val="6602BBEE"/>
    <w:lvl w:ilvl="0" w:tplc="53E869D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E6460C"/>
    <w:multiLevelType w:val="hybridMultilevel"/>
    <w:tmpl w:val="7398E876"/>
    <w:lvl w:ilvl="0" w:tplc="B7DE451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4"/>
  </w:num>
  <w:num w:numId="3">
    <w:abstractNumId w:val="4"/>
  </w:num>
  <w:num w:numId="4">
    <w:abstractNumId w:val="18"/>
  </w:num>
  <w:num w:numId="5">
    <w:abstractNumId w:val="10"/>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11"/>
  </w:num>
  <w:num w:numId="11">
    <w:abstractNumId w:val="38"/>
  </w:num>
  <w:num w:numId="12">
    <w:abstractNumId w:val="39"/>
  </w:num>
  <w:num w:numId="13">
    <w:abstractNumId w:val="1"/>
  </w:num>
  <w:num w:numId="14">
    <w:abstractNumId w:val="17"/>
  </w:num>
  <w:num w:numId="15">
    <w:abstractNumId w:val="36"/>
  </w:num>
  <w:num w:numId="16">
    <w:abstractNumId w:val="3"/>
  </w:num>
  <w:num w:numId="17">
    <w:abstractNumId w:val="6"/>
  </w:num>
  <w:num w:numId="18">
    <w:abstractNumId w:val="9"/>
  </w:num>
  <w:num w:numId="19">
    <w:abstractNumId w:val="33"/>
  </w:num>
  <w:num w:numId="20">
    <w:abstractNumId w:val="22"/>
  </w:num>
  <w:num w:numId="21">
    <w:abstractNumId w:val="35"/>
  </w:num>
  <w:num w:numId="22">
    <w:abstractNumId w:val="2"/>
  </w:num>
  <w:num w:numId="23">
    <w:abstractNumId w:val="31"/>
  </w:num>
  <w:num w:numId="24">
    <w:abstractNumId w:val="33"/>
  </w:num>
  <w:num w:numId="25">
    <w:abstractNumId w:val="7"/>
  </w:num>
  <w:num w:numId="26">
    <w:abstractNumId w:val="30"/>
  </w:num>
  <w:num w:numId="27">
    <w:abstractNumId w:val="16"/>
  </w:num>
  <w:num w:numId="28">
    <w:abstractNumId w:val="25"/>
  </w:num>
  <w:num w:numId="29">
    <w:abstractNumId w:val="40"/>
  </w:num>
  <w:num w:numId="30">
    <w:abstractNumId w:val="8"/>
  </w:num>
  <w:num w:numId="31">
    <w:abstractNumId w:val="32"/>
  </w:num>
  <w:num w:numId="32">
    <w:abstractNumId w:val="28"/>
  </w:num>
  <w:num w:numId="33">
    <w:abstractNumId w:val="27"/>
  </w:num>
  <w:num w:numId="34">
    <w:abstractNumId w:val="29"/>
  </w:num>
  <w:num w:numId="35">
    <w:abstractNumId w:val="29"/>
    <w:lvlOverride w:ilvl="0">
      <w:startOverride w:val="1"/>
    </w:lvlOverride>
  </w:num>
  <w:num w:numId="36">
    <w:abstractNumId w:val="23"/>
  </w:num>
  <w:num w:numId="37">
    <w:abstractNumId w:val="24"/>
  </w:num>
  <w:num w:numId="38">
    <w:abstractNumId w:val="19"/>
  </w:num>
  <w:num w:numId="39">
    <w:abstractNumId w:val="13"/>
  </w:num>
  <w:num w:numId="40">
    <w:abstractNumId w:val="12"/>
  </w:num>
  <w:num w:numId="41">
    <w:abstractNumId w:val="37"/>
  </w:num>
  <w:num w:numId="42">
    <w:abstractNumId w:val="2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Formatting/>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4C"/>
    <w:rsid w:val="0000235F"/>
    <w:rsid w:val="00005A0E"/>
    <w:rsid w:val="00005D42"/>
    <w:rsid w:val="000072D6"/>
    <w:rsid w:val="00007D82"/>
    <w:rsid w:val="00011488"/>
    <w:rsid w:val="0001597E"/>
    <w:rsid w:val="00015B98"/>
    <w:rsid w:val="00015C3C"/>
    <w:rsid w:val="00015E72"/>
    <w:rsid w:val="000219FF"/>
    <w:rsid w:val="00025AD6"/>
    <w:rsid w:val="00027092"/>
    <w:rsid w:val="00034771"/>
    <w:rsid w:val="000357AD"/>
    <w:rsid w:val="00040962"/>
    <w:rsid w:val="00040AB7"/>
    <w:rsid w:val="00040EF9"/>
    <w:rsid w:val="0004140A"/>
    <w:rsid w:val="000414CE"/>
    <w:rsid w:val="000420B4"/>
    <w:rsid w:val="000434C2"/>
    <w:rsid w:val="00043C5B"/>
    <w:rsid w:val="00043C81"/>
    <w:rsid w:val="00046976"/>
    <w:rsid w:val="00047B9B"/>
    <w:rsid w:val="00047D6D"/>
    <w:rsid w:val="0005020A"/>
    <w:rsid w:val="0005674D"/>
    <w:rsid w:val="00057F47"/>
    <w:rsid w:val="00062F12"/>
    <w:rsid w:val="0006537C"/>
    <w:rsid w:val="00066341"/>
    <w:rsid w:val="000678AD"/>
    <w:rsid w:val="000766A2"/>
    <w:rsid w:val="00077D7F"/>
    <w:rsid w:val="00080CFD"/>
    <w:rsid w:val="00082188"/>
    <w:rsid w:val="00083370"/>
    <w:rsid w:val="00085150"/>
    <w:rsid w:val="0008610E"/>
    <w:rsid w:val="0008688D"/>
    <w:rsid w:val="00086C30"/>
    <w:rsid w:val="00087D78"/>
    <w:rsid w:val="000907D7"/>
    <w:rsid w:val="00091518"/>
    <w:rsid w:val="00092C3F"/>
    <w:rsid w:val="00096893"/>
    <w:rsid w:val="0009768B"/>
    <w:rsid w:val="000A0948"/>
    <w:rsid w:val="000A19C7"/>
    <w:rsid w:val="000A307F"/>
    <w:rsid w:val="000A32AF"/>
    <w:rsid w:val="000A38D4"/>
    <w:rsid w:val="000A38D7"/>
    <w:rsid w:val="000A55D3"/>
    <w:rsid w:val="000A76FC"/>
    <w:rsid w:val="000A77F2"/>
    <w:rsid w:val="000B1216"/>
    <w:rsid w:val="000B1767"/>
    <w:rsid w:val="000B1B17"/>
    <w:rsid w:val="000B2E6A"/>
    <w:rsid w:val="000B2F86"/>
    <w:rsid w:val="000B37AA"/>
    <w:rsid w:val="000B60FD"/>
    <w:rsid w:val="000C1A2C"/>
    <w:rsid w:val="000C4FAE"/>
    <w:rsid w:val="000C5D85"/>
    <w:rsid w:val="000C76B7"/>
    <w:rsid w:val="000C76BE"/>
    <w:rsid w:val="000C7F15"/>
    <w:rsid w:val="000D1B71"/>
    <w:rsid w:val="000D1CA4"/>
    <w:rsid w:val="000D1CE5"/>
    <w:rsid w:val="000D2B07"/>
    <w:rsid w:val="000D3703"/>
    <w:rsid w:val="000D3F6F"/>
    <w:rsid w:val="000D4E43"/>
    <w:rsid w:val="000D6F1C"/>
    <w:rsid w:val="000E114D"/>
    <w:rsid w:val="000E2685"/>
    <w:rsid w:val="000E6578"/>
    <w:rsid w:val="000E7A65"/>
    <w:rsid w:val="000F0665"/>
    <w:rsid w:val="000F482F"/>
    <w:rsid w:val="000F4C66"/>
    <w:rsid w:val="000F5FC9"/>
    <w:rsid w:val="00100559"/>
    <w:rsid w:val="00101610"/>
    <w:rsid w:val="0010320F"/>
    <w:rsid w:val="001034CC"/>
    <w:rsid w:val="00103833"/>
    <w:rsid w:val="00103EA4"/>
    <w:rsid w:val="001045B6"/>
    <w:rsid w:val="001048CB"/>
    <w:rsid w:val="0010552B"/>
    <w:rsid w:val="001059D6"/>
    <w:rsid w:val="001111CB"/>
    <w:rsid w:val="00112F9F"/>
    <w:rsid w:val="0011386D"/>
    <w:rsid w:val="00114B63"/>
    <w:rsid w:val="001150FD"/>
    <w:rsid w:val="001151B1"/>
    <w:rsid w:val="00115A9C"/>
    <w:rsid w:val="00116171"/>
    <w:rsid w:val="00116E1A"/>
    <w:rsid w:val="001219E9"/>
    <w:rsid w:val="00124AD9"/>
    <w:rsid w:val="001256F0"/>
    <w:rsid w:val="001258FD"/>
    <w:rsid w:val="00126476"/>
    <w:rsid w:val="00126C0F"/>
    <w:rsid w:val="001304B8"/>
    <w:rsid w:val="0013112E"/>
    <w:rsid w:val="001314B7"/>
    <w:rsid w:val="001315F5"/>
    <w:rsid w:val="00132BE5"/>
    <w:rsid w:val="001348BA"/>
    <w:rsid w:val="00140FB9"/>
    <w:rsid w:val="001412A2"/>
    <w:rsid w:val="00141B20"/>
    <w:rsid w:val="00143911"/>
    <w:rsid w:val="00144282"/>
    <w:rsid w:val="00144550"/>
    <w:rsid w:val="00146E76"/>
    <w:rsid w:val="00146E8C"/>
    <w:rsid w:val="00147AB5"/>
    <w:rsid w:val="00147ACE"/>
    <w:rsid w:val="00151752"/>
    <w:rsid w:val="00151E24"/>
    <w:rsid w:val="001523BF"/>
    <w:rsid w:val="00154580"/>
    <w:rsid w:val="00155218"/>
    <w:rsid w:val="001572DB"/>
    <w:rsid w:val="0016078D"/>
    <w:rsid w:val="00161021"/>
    <w:rsid w:val="001610A6"/>
    <w:rsid w:val="00163493"/>
    <w:rsid w:val="001645CF"/>
    <w:rsid w:val="00164FEF"/>
    <w:rsid w:val="00172020"/>
    <w:rsid w:val="00173161"/>
    <w:rsid w:val="00173743"/>
    <w:rsid w:val="001773BB"/>
    <w:rsid w:val="00177876"/>
    <w:rsid w:val="00180779"/>
    <w:rsid w:val="001824B4"/>
    <w:rsid w:val="00183A89"/>
    <w:rsid w:val="00186A90"/>
    <w:rsid w:val="00186BF3"/>
    <w:rsid w:val="001876B3"/>
    <w:rsid w:val="001901D1"/>
    <w:rsid w:val="001926B1"/>
    <w:rsid w:val="00193404"/>
    <w:rsid w:val="001952C5"/>
    <w:rsid w:val="00197286"/>
    <w:rsid w:val="001A0EF3"/>
    <w:rsid w:val="001A0F5B"/>
    <w:rsid w:val="001A1F3C"/>
    <w:rsid w:val="001A1FB9"/>
    <w:rsid w:val="001A41C6"/>
    <w:rsid w:val="001A6431"/>
    <w:rsid w:val="001B2182"/>
    <w:rsid w:val="001B3E1F"/>
    <w:rsid w:val="001B65E5"/>
    <w:rsid w:val="001C5A3B"/>
    <w:rsid w:val="001C6A14"/>
    <w:rsid w:val="001D0AC9"/>
    <w:rsid w:val="001D0D64"/>
    <w:rsid w:val="001D0DCC"/>
    <w:rsid w:val="001D0E5C"/>
    <w:rsid w:val="001D31F6"/>
    <w:rsid w:val="001D3B09"/>
    <w:rsid w:val="001D43DB"/>
    <w:rsid w:val="001D553D"/>
    <w:rsid w:val="001D5E49"/>
    <w:rsid w:val="001D6DDD"/>
    <w:rsid w:val="001D7745"/>
    <w:rsid w:val="001E03EA"/>
    <w:rsid w:val="001E170E"/>
    <w:rsid w:val="001E289A"/>
    <w:rsid w:val="001E4C61"/>
    <w:rsid w:val="001E5119"/>
    <w:rsid w:val="001E52E5"/>
    <w:rsid w:val="001F04B4"/>
    <w:rsid w:val="001F0863"/>
    <w:rsid w:val="001F1FD9"/>
    <w:rsid w:val="001F5F84"/>
    <w:rsid w:val="002007CE"/>
    <w:rsid w:val="00201F45"/>
    <w:rsid w:val="002023DC"/>
    <w:rsid w:val="0020404F"/>
    <w:rsid w:val="00205919"/>
    <w:rsid w:val="002131FF"/>
    <w:rsid w:val="002135A5"/>
    <w:rsid w:val="002156C9"/>
    <w:rsid w:val="00217885"/>
    <w:rsid w:val="00217F8C"/>
    <w:rsid w:val="00220E5D"/>
    <w:rsid w:val="002211A7"/>
    <w:rsid w:val="00227168"/>
    <w:rsid w:val="002274D8"/>
    <w:rsid w:val="00227894"/>
    <w:rsid w:val="00230114"/>
    <w:rsid w:val="002324F2"/>
    <w:rsid w:val="0024168A"/>
    <w:rsid w:val="002419CE"/>
    <w:rsid w:val="00241C88"/>
    <w:rsid w:val="002425B2"/>
    <w:rsid w:val="00242CED"/>
    <w:rsid w:val="002432DF"/>
    <w:rsid w:val="002435F4"/>
    <w:rsid w:val="002437A8"/>
    <w:rsid w:val="00246406"/>
    <w:rsid w:val="002472FA"/>
    <w:rsid w:val="0024745E"/>
    <w:rsid w:val="00247F47"/>
    <w:rsid w:val="00250A8D"/>
    <w:rsid w:val="002513D3"/>
    <w:rsid w:val="002623E6"/>
    <w:rsid w:val="002637C6"/>
    <w:rsid w:val="00264CCC"/>
    <w:rsid w:val="00265A5D"/>
    <w:rsid w:val="00270B46"/>
    <w:rsid w:val="00271265"/>
    <w:rsid w:val="00271DB0"/>
    <w:rsid w:val="002721F2"/>
    <w:rsid w:val="00272CA6"/>
    <w:rsid w:val="00275A7D"/>
    <w:rsid w:val="00276A79"/>
    <w:rsid w:val="00276C2E"/>
    <w:rsid w:val="00283EAF"/>
    <w:rsid w:val="00287B21"/>
    <w:rsid w:val="00291034"/>
    <w:rsid w:val="0029501A"/>
    <w:rsid w:val="00295C87"/>
    <w:rsid w:val="002A0788"/>
    <w:rsid w:val="002A0EC2"/>
    <w:rsid w:val="002A1514"/>
    <w:rsid w:val="002A3A3A"/>
    <w:rsid w:val="002A4682"/>
    <w:rsid w:val="002A645F"/>
    <w:rsid w:val="002B1507"/>
    <w:rsid w:val="002B1D56"/>
    <w:rsid w:val="002B20ED"/>
    <w:rsid w:val="002B35C1"/>
    <w:rsid w:val="002B5437"/>
    <w:rsid w:val="002B543B"/>
    <w:rsid w:val="002B7180"/>
    <w:rsid w:val="002C082F"/>
    <w:rsid w:val="002C0E30"/>
    <w:rsid w:val="002C1A51"/>
    <w:rsid w:val="002D44A5"/>
    <w:rsid w:val="002D7437"/>
    <w:rsid w:val="002D7749"/>
    <w:rsid w:val="002E0816"/>
    <w:rsid w:val="002E69CA"/>
    <w:rsid w:val="002F1B85"/>
    <w:rsid w:val="002F2F04"/>
    <w:rsid w:val="002F3391"/>
    <w:rsid w:val="002F5B9F"/>
    <w:rsid w:val="002F5DBC"/>
    <w:rsid w:val="002F6D94"/>
    <w:rsid w:val="002F763A"/>
    <w:rsid w:val="00300D8B"/>
    <w:rsid w:val="003015E8"/>
    <w:rsid w:val="00302CE9"/>
    <w:rsid w:val="00304123"/>
    <w:rsid w:val="003052A3"/>
    <w:rsid w:val="003106CF"/>
    <w:rsid w:val="003107D3"/>
    <w:rsid w:val="003156DB"/>
    <w:rsid w:val="003164B8"/>
    <w:rsid w:val="003174F0"/>
    <w:rsid w:val="00320F68"/>
    <w:rsid w:val="0032273F"/>
    <w:rsid w:val="00325689"/>
    <w:rsid w:val="00326032"/>
    <w:rsid w:val="0032787B"/>
    <w:rsid w:val="0033259A"/>
    <w:rsid w:val="003340AB"/>
    <w:rsid w:val="003411EF"/>
    <w:rsid w:val="00341A01"/>
    <w:rsid w:val="00341B18"/>
    <w:rsid w:val="00342A12"/>
    <w:rsid w:val="00342E90"/>
    <w:rsid w:val="0034334E"/>
    <w:rsid w:val="00343D7F"/>
    <w:rsid w:val="003441F4"/>
    <w:rsid w:val="003448B0"/>
    <w:rsid w:val="00346D18"/>
    <w:rsid w:val="00361146"/>
    <w:rsid w:val="00361890"/>
    <w:rsid w:val="00363C16"/>
    <w:rsid w:val="003641EC"/>
    <w:rsid w:val="00365D95"/>
    <w:rsid w:val="0036690C"/>
    <w:rsid w:val="00366AE4"/>
    <w:rsid w:val="00366B05"/>
    <w:rsid w:val="00367341"/>
    <w:rsid w:val="00370421"/>
    <w:rsid w:val="00372878"/>
    <w:rsid w:val="0037306C"/>
    <w:rsid w:val="00373F3F"/>
    <w:rsid w:val="00374223"/>
    <w:rsid w:val="003746BB"/>
    <w:rsid w:val="00377BCD"/>
    <w:rsid w:val="00377C67"/>
    <w:rsid w:val="00382356"/>
    <w:rsid w:val="00383874"/>
    <w:rsid w:val="00383A29"/>
    <w:rsid w:val="00383BB1"/>
    <w:rsid w:val="0038597E"/>
    <w:rsid w:val="00390B8B"/>
    <w:rsid w:val="00391551"/>
    <w:rsid w:val="0039195D"/>
    <w:rsid w:val="00392D3F"/>
    <w:rsid w:val="003947D9"/>
    <w:rsid w:val="00394E40"/>
    <w:rsid w:val="00395490"/>
    <w:rsid w:val="003A0799"/>
    <w:rsid w:val="003A38A8"/>
    <w:rsid w:val="003A476C"/>
    <w:rsid w:val="003A57EE"/>
    <w:rsid w:val="003B163F"/>
    <w:rsid w:val="003B23BB"/>
    <w:rsid w:val="003B31EB"/>
    <w:rsid w:val="003B3CDA"/>
    <w:rsid w:val="003B47A5"/>
    <w:rsid w:val="003B7783"/>
    <w:rsid w:val="003B7A7A"/>
    <w:rsid w:val="003C000C"/>
    <w:rsid w:val="003C22F9"/>
    <w:rsid w:val="003C2C6C"/>
    <w:rsid w:val="003C4D54"/>
    <w:rsid w:val="003C512D"/>
    <w:rsid w:val="003C66D5"/>
    <w:rsid w:val="003C7AB7"/>
    <w:rsid w:val="003C7C09"/>
    <w:rsid w:val="003D1F0B"/>
    <w:rsid w:val="003D4522"/>
    <w:rsid w:val="003D76CE"/>
    <w:rsid w:val="003E12CA"/>
    <w:rsid w:val="003E145D"/>
    <w:rsid w:val="003E16BD"/>
    <w:rsid w:val="003E2457"/>
    <w:rsid w:val="003E3F30"/>
    <w:rsid w:val="003E406C"/>
    <w:rsid w:val="003F06A3"/>
    <w:rsid w:val="003F55F4"/>
    <w:rsid w:val="003F744D"/>
    <w:rsid w:val="004003AC"/>
    <w:rsid w:val="00400F1B"/>
    <w:rsid w:val="004017C4"/>
    <w:rsid w:val="004024E5"/>
    <w:rsid w:val="0040338B"/>
    <w:rsid w:val="004040F5"/>
    <w:rsid w:val="00405CD2"/>
    <w:rsid w:val="004067C0"/>
    <w:rsid w:val="004100DB"/>
    <w:rsid w:val="00410E40"/>
    <w:rsid w:val="004121D4"/>
    <w:rsid w:val="004131DD"/>
    <w:rsid w:val="0041324A"/>
    <w:rsid w:val="0041378D"/>
    <w:rsid w:val="004141CE"/>
    <w:rsid w:val="004150CC"/>
    <w:rsid w:val="00417674"/>
    <w:rsid w:val="00417866"/>
    <w:rsid w:val="00417F38"/>
    <w:rsid w:val="00421CE8"/>
    <w:rsid w:val="00421FF1"/>
    <w:rsid w:val="0042231E"/>
    <w:rsid w:val="00422800"/>
    <w:rsid w:val="0042331E"/>
    <w:rsid w:val="00425E92"/>
    <w:rsid w:val="00425F51"/>
    <w:rsid w:val="00426BD9"/>
    <w:rsid w:val="00431E13"/>
    <w:rsid w:val="0043307C"/>
    <w:rsid w:val="004352EA"/>
    <w:rsid w:val="00436655"/>
    <w:rsid w:val="00437F79"/>
    <w:rsid w:val="0044085F"/>
    <w:rsid w:val="0044356F"/>
    <w:rsid w:val="0044453F"/>
    <w:rsid w:val="004453F1"/>
    <w:rsid w:val="00447668"/>
    <w:rsid w:val="00447CED"/>
    <w:rsid w:val="00453FB9"/>
    <w:rsid w:val="00456AFF"/>
    <w:rsid w:val="00461F9E"/>
    <w:rsid w:val="004626AF"/>
    <w:rsid w:val="00463B33"/>
    <w:rsid w:val="00463C64"/>
    <w:rsid w:val="00463CF6"/>
    <w:rsid w:val="00467585"/>
    <w:rsid w:val="00472BED"/>
    <w:rsid w:val="00472E8A"/>
    <w:rsid w:val="0047698A"/>
    <w:rsid w:val="004812FD"/>
    <w:rsid w:val="0048439C"/>
    <w:rsid w:val="0048564C"/>
    <w:rsid w:val="004860B6"/>
    <w:rsid w:val="00490CC3"/>
    <w:rsid w:val="00491799"/>
    <w:rsid w:val="0049376A"/>
    <w:rsid w:val="00493A26"/>
    <w:rsid w:val="00493F5C"/>
    <w:rsid w:val="00497834"/>
    <w:rsid w:val="004A027C"/>
    <w:rsid w:val="004A2190"/>
    <w:rsid w:val="004A3B72"/>
    <w:rsid w:val="004A4114"/>
    <w:rsid w:val="004B1D36"/>
    <w:rsid w:val="004B4103"/>
    <w:rsid w:val="004B59DD"/>
    <w:rsid w:val="004B5F77"/>
    <w:rsid w:val="004B6206"/>
    <w:rsid w:val="004C2712"/>
    <w:rsid w:val="004C661A"/>
    <w:rsid w:val="004C7C23"/>
    <w:rsid w:val="004C7ED0"/>
    <w:rsid w:val="004D2C4A"/>
    <w:rsid w:val="004D49C1"/>
    <w:rsid w:val="004D5794"/>
    <w:rsid w:val="004D6C6B"/>
    <w:rsid w:val="004D7A56"/>
    <w:rsid w:val="004E07B4"/>
    <w:rsid w:val="004E331E"/>
    <w:rsid w:val="004E3537"/>
    <w:rsid w:val="004E3A5D"/>
    <w:rsid w:val="004E613F"/>
    <w:rsid w:val="004E6B0E"/>
    <w:rsid w:val="004E71F1"/>
    <w:rsid w:val="004F10F3"/>
    <w:rsid w:val="004F1F95"/>
    <w:rsid w:val="004F21BC"/>
    <w:rsid w:val="004F43A3"/>
    <w:rsid w:val="004F5617"/>
    <w:rsid w:val="004F590C"/>
    <w:rsid w:val="004F5F10"/>
    <w:rsid w:val="004F7021"/>
    <w:rsid w:val="0050045C"/>
    <w:rsid w:val="00500CE2"/>
    <w:rsid w:val="005014C7"/>
    <w:rsid w:val="0050161C"/>
    <w:rsid w:val="00501661"/>
    <w:rsid w:val="00507DF1"/>
    <w:rsid w:val="00510EB3"/>
    <w:rsid w:val="00511AA8"/>
    <w:rsid w:val="00514383"/>
    <w:rsid w:val="00514D12"/>
    <w:rsid w:val="00516621"/>
    <w:rsid w:val="00516B07"/>
    <w:rsid w:val="00517C24"/>
    <w:rsid w:val="005216D8"/>
    <w:rsid w:val="00522A69"/>
    <w:rsid w:val="00524FD4"/>
    <w:rsid w:val="005255D5"/>
    <w:rsid w:val="00525606"/>
    <w:rsid w:val="00526B32"/>
    <w:rsid w:val="00526DB6"/>
    <w:rsid w:val="00532720"/>
    <w:rsid w:val="00532F51"/>
    <w:rsid w:val="00533734"/>
    <w:rsid w:val="00536E92"/>
    <w:rsid w:val="00537292"/>
    <w:rsid w:val="00537805"/>
    <w:rsid w:val="005427CD"/>
    <w:rsid w:val="005448BE"/>
    <w:rsid w:val="00544CE6"/>
    <w:rsid w:val="00546E91"/>
    <w:rsid w:val="005470AA"/>
    <w:rsid w:val="00551198"/>
    <w:rsid w:val="0055141C"/>
    <w:rsid w:val="00555B9B"/>
    <w:rsid w:val="00556351"/>
    <w:rsid w:val="005578F7"/>
    <w:rsid w:val="00557E19"/>
    <w:rsid w:val="00560DC0"/>
    <w:rsid w:val="00567AD6"/>
    <w:rsid w:val="00570A1D"/>
    <w:rsid w:val="00570A9A"/>
    <w:rsid w:val="00570BD8"/>
    <w:rsid w:val="00572CCF"/>
    <w:rsid w:val="00573671"/>
    <w:rsid w:val="00573911"/>
    <w:rsid w:val="00575F7C"/>
    <w:rsid w:val="00580618"/>
    <w:rsid w:val="00581A0A"/>
    <w:rsid w:val="00581A0D"/>
    <w:rsid w:val="00581CF4"/>
    <w:rsid w:val="0058291B"/>
    <w:rsid w:val="00584C26"/>
    <w:rsid w:val="005879D3"/>
    <w:rsid w:val="00587F4C"/>
    <w:rsid w:val="005944BB"/>
    <w:rsid w:val="0059472B"/>
    <w:rsid w:val="0059493B"/>
    <w:rsid w:val="00595E04"/>
    <w:rsid w:val="005974B4"/>
    <w:rsid w:val="005A502A"/>
    <w:rsid w:val="005A5559"/>
    <w:rsid w:val="005A5786"/>
    <w:rsid w:val="005A6AB2"/>
    <w:rsid w:val="005A7658"/>
    <w:rsid w:val="005A7CA9"/>
    <w:rsid w:val="005B11AE"/>
    <w:rsid w:val="005B487E"/>
    <w:rsid w:val="005B5A49"/>
    <w:rsid w:val="005B6D3C"/>
    <w:rsid w:val="005C1736"/>
    <w:rsid w:val="005C32AD"/>
    <w:rsid w:val="005C479C"/>
    <w:rsid w:val="005C509A"/>
    <w:rsid w:val="005C50D4"/>
    <w:rsid w:val="005C52E1"/>
    <w:rsid w:val="005D4348"/>
    <w:rsid w:val="005D7564"/>
    <w:rsid w:val="005E0F08"/>
    <w:rsid w:val="005E18F5"/>
    <w:rsid w:val="005E19AF"/>
    <w:rsid w:val="005E203A"/>
    <w:rsid w:val="005E21B7"/>
    <w:rsid w:val="005E271D"/>
    <w:rsid w:val="005E6193"/>
    <w:rsid w:val="005E750A"/>
    <w:rsid w:val="005F18AD"/>
    <w:rsid w:val="005F1932"/>
    <w:rsid w:val="005F3051"/>
    <w:rsid w:val="005F3A24"/>
    <w:rsid w:val="005F591E"/>
    <w:rsid w:val="00600290"/>
    <w:rsid w:val="006005D0"/>
    <w:rsid w:val="0060158A"/>
    <w:rsid w:val="00602AC4"/>
    <w:rsid w:val="006030A2"/>
    <w:rsid w:val="006037AF"/>
    <w:rsid w:val="00603C64"/>
    <w:rsid w:val="006059D0"/>
    <w:rsid w:val="00606A6C"/>
    <w:rsid w:val="006079A6"/>
    <w:rsid w:val="00607DBB"/>
    <w:rsid w:val="00612C0C"/>
    <w:rsid w:val="006161CF"/>
    <w:rsid w:val="00616AC3"/>
    <w:rsid w:val="006177F2"/>
    <w:rsid w:val="006222CC"/>
    <w:rsid w:val="00625443"/>
    <w:rsid w:val="00625C86"/>
    <w:rsid w:val="0062656A"/>
    <w:rsid w:val="006300BD"/>
    <w:rsid w:val="006312D1"/>
    <w:rsid w:val="00631727"/>
    <w:rsid w:val="00631821"/>
    <w:rsid w:val="00636749"/>
    <w:rsid w:val="00640BC7"/>
    <w:rsid w:val="00641D15"/>
    <w:rsid w:val="00642B10"/>
    <w:rsid w:val="00643F10"/>
    <w:rsid w:val="006444BF"/>
    <w:rsid w:val="00645627"/>
    <w:rsid w:val="00646044"/>
    <w:rsid w:val="00651424"/>
    <w:rsid w:val="0065272B"/>
    <w:rsid w:val="00655795"/>
    <w:rsid w:val="00657605"/>
    <w:rsid w:val="00657A49"/>
    <w:rsid w:val="00665944"/>
    <w:rsid w:val="00666D41"/>
    <w:rsid w:val="0066793E"/>
    <w:rsid w:val="006771CB"/>
    <w:rsid w:val="006771EE"/>
    <w:rsid w:val="00677425"/>
    <w:rsid w:val="006808DE"/>
    <w:rsid w:val="00682492"/>
    <w:rsid w:val="0068537E"/>
    <w:rsid w:val="00694871"/>
    <w:rsid w:val="0069497A"/>
    <w:rsid w:val="006A12DC"/>
    <w:rsid w:val="006A2435"/>
    <w:rsid w:val="006A38C5"/>
    <w:rsid w:val="006A435C"/>
    <w:rsid w:val="006A5801"/>
    <w:rsid w:val="006A5A5F"/>
    <w:rsid w:val="006A6DA8"/>
    <w:rsid w:val="006B1D17"/>
    <w:rsid w:val="006B3411"/>
    <w:rsid w:val="006B6342"/>
    <w:rsid w:val="006C168F"/>
    <w:rsid w:val="006C57C1"/>
    <w:rsid w:val="006C6FE4"/>
    <w:rsid w:val="006D1EA2"/>
    <w:rsid w:val="006D2947"/>
    <w:rsid w:val="006D3202"/>
    <w:rsid w:val="006D3332"/>
    <w:rsid w:val="006D33CB"/>
    <w:rsid w:val="006D44C3"/>
    <w:rsid w:val="006D5EB5"/>
    <w:rsid w:val="006D61CB"/>
    <w:rsid w:val="006D73CE"/>
    <w:rsid w:val="006E1066"/>
    <w:rsid w:val="006E13FD"/>
    <w:rsid w:val="006E464E"/>
    <w:rsid w:val="006E7790"/>
    <w:rsid w:val="006F0D4F"/>
    <w:rsid w:val="006F1A36"/>
    <w:rsid w:val="006F20EC"/>
    <w:rsid w:val="006F7AF2"/>
    <w:rsid w:val="00700001"/>
    <w:rsid w:val="00701AD0"/>
    <w:rsid w:val="007030F2"/>
    <w:rsid w:val="00703A14"/>
    <w:rsid w:val="007053C5"/>
    <w:rsid w:val="00706E99"/>
    <w:rsid w:val="00707E6F"/>
    <w:rsid w:val="00710348"/>
    <w:rsid w:val="00712616"/>
    <w:rsid w:val="00712F31"/>
    <w:rsid w:val="007133DD"/>
    <w:rsid w:val="00713A46"/>
    <w:rsid w:val="007213FA"/>
    <w:rsid w:val="00723209"/>
    <w:rsid w:val="00725DEB"/>
    <w:rsid w:val="00726633"/>
    <w:rsid w:val="00727351"/>
    <w:rsid w:val="00731767"/>
    <w:rsid w:val="007326FE"/>
    <w:rsid w:val="0073392E"/>
    <w:rsid w:val="007346FF"/>
    <w:rsid w:val="00735146"/>
    <w:rsid w:val="0073624C"/>
    <w:rsid w:val="00736685"/>
    <w:rsid w:val="007369E9"/>
    <w:rsid w:val="00737884"/>
    <w:rsid w:val="00740459"/>
    <w:rsid w:val="007423EA"/>
    <w:rsid w:val="00742782"/>
    <w:rsid w:val="00747F0E"/>
    <w:rsid w:val="00747FA5"/>
    <w:rsid w:val="00750644"/>
    <w:rsid w:val="00751468"/>
    <w:rsid w:val="0075351D"/>
    <w:rsid w:val="0075357B"/>
    <w:rsid w:val="007549B6"/>
    <w:rsid w:val="00756818"/>
    <w:rsid w:val="0075684D"/>
    <w:rsid w:val="00756E5A"/>
    <w:rsid w:val="007576DA"/>
    <w:rsid w:val="0076265B"/>
    <w:rsid w:val="007630D4"/>
    <w:rsid w:val="007637E2"/>
    <w:rsid w:val="007649FC"/>
    <w:rsid w:val="007660A1"/>
    <w:rsid w:val="00766C69"/>
    <w:rsid w:val="007670F9"/>
    <w:rsid w:val="00770C4A"/>
    <w:rsid w:val="00773571"/>
    <w:rsid w:val="0077399C"/>
    <w:rsid w:val="00773B01"/>
    <w:rsid w:val="00781C32"/>
    <w:rsid w:val="00782E3A"/>
    <w:rsid w:val="0078323D"/>
    <w:rsid w:val="007846BA"/>
    <w:rsid w:val="00785167"/>
    <w:rsid w:val="0078530C"/>
    <w:rsid w:val="00787CDD"/>
    <w:rsid w:val="00790EB2"/>
    <w:rsid w:val="00792344"/>
    <w:rsid w:val="00792892"/>
    <w:rsid w:val="007960C8"/>
    <w:rsid w:val="0079645B"/>
    <w:rsid w:val="007979F2"/>
    <w:rsid w:val="00797E96"/>
    <w:rsid w:val="007A0F49"/>
    <w:rsid w:val="007A3073"/>
    <w:rsid w:val="007A3190"/>
    <w:rsid w:val="007A412D"/>
    <w:rsid w:val="007A4841"/>
    <w:rsid w:val="007A6014"/>
    <w:rsid w:val="007A6177"/>
    <w:rsid w:val="007B252A"/>
    <w:rsid w:val="007B2C37"/>
    <w:rsid w:val="007B4215"/>
    <w:rsid w:val="007B5B5B"/>
    <w:rsid w:val="007B5C88"/>
    <w:rsid w:val="007B68D4"/>
    <w:rsid w:val="007B734B"/>
    <w:rsid w:val="007C0F60"/>
    <w:rsid w:val="007C1E08"/>
    <w:rsid w:val="007C308C"/>
    <w:rsid w:val="007C470E"/>
    <w:rsid w:val="007C584D"/>
    <w:rsid w:val="007C738B"/>
    <w:rsid w:val="007D0E6E"/>
    <w:rsid w:val="007D4CA8"/>
    <w:rsid w:val="007D4D91"/>
    <w:rsid w:val="007E0782"/>
    <w:rsid w:val="007E456C"/>
    <w:rsid w:val="007F15BF"/>
    <w:rsid w:val="007F2815"/>
    <w:rsid w:val="007F303A"/>
    <w:rsid w:val="007F4503"/>
    <w:rsid w:val="007F6B88"/>
    <w:rsid w:val="007F7415"/>
    <w:rsid w:val="007F75E7"/>
    <w:rsid w:val="0080078D"/>
    <w:rsid w:val="00800EEC"/>
    <w:rsid w:val="00800F56"/>
    <w:rsid w:val="0080177E"/>
    <w:rsid w:val="008027F8"/>
    <w:rsid w:val="00802888"/>
    <w:rsid w:val="00804259"/>
    <w:rsid w:val="00804CC3"/>
    <w:rsid w:val="0080741D"/>
    <w:rsid w:val="00810024"/>
    <w:rsid w:val="008108D1"/>
    <w:rsid w:val="00810E73"/>
    <w:rsid w:val="00811818"/>
    <w:rsid w:val="008133C8"/>
    <w:rsid w:val="008150F7"/>
    <w:rsid w:val="008163B9"/>
    <w:rsid w:val="0081671A"/>
    <w:rsid w:val="0081684E"/>
    <w:rsid w:val="00822105"/>
    <w:rsid w:val="00823A0D"/>
    <w:rsid w:val="00823A1B"/>
    <w:rsid w:val="00827B7C"/>
    <w:rsid w:val="00831178"/>
    <w:rsid w:val="00831CE7"/>
    <w:rsid w:val="00833F0C"/>
    <w:rsid w:val="008344DD"/>
    <w:rsid w:val="00836C6C"/>
    <w:rsid w:val="00836EC7"/>
    <w:rsid w:val="00841EB5"/>
    <w:rsid w:val="00843710"/>
    <w:rsid w:val="0084395A"/>
    <w:rsid w:val="00844426"/>
    <w:rsid w:val="00844A57"/>
    <w:rsid w:val="00845EAE"/>
    <w:rsid w:val="00846D65"/>
    <w:rsid w:val="0084762B"/>
    <w:rsid w:val="00847974"/>
    <w:rsid w:val="00847D54"/>
    <w:rsid w:val="008502C7"/>
    <w:rsid w:val="008518B1"/>
    <w:rsid w:val="00853B66"/>
    <w:rsid w:val="008542BC"/>
    <w:rsid w:val="00856220"/>
    <w:rsid w:val="0085630E"/>
    <w:rsid w:val="00860593"/>
    <w:rsid w:val="00865A59"/>
    <w:rsid w:val="00865CE0"/>
    <w:rsid w:val="00870A74"/>
    <w:rsid w:val="008711AE"/>
    <w:rsid w:val="008733CF"/>
    <w:rsid w:val="00873C0F"/>
    <w:rsid w:val="00876015"/>
    <w:rsid w:val="00877FD5"/>
    <w:rsid w:val="008865C9"/>
    <w:rsid w:val="00886C98"/>
    <w:rsid w:val="00891892"/>
    <w:rsid w:val="00892810"/>
    <w:rsid w:val="0089295E"/>
    <w:rsid w:val="008931A6"/>
    <w:rsid w:val="008939C8"/>
    <w:rsid w:val="0089654A"/>
    <w:rsid w:val="00897797"/>
    <w:rsid w:val="008A0C4E"/>
    <w:rsid w:val="008A109D"/>
    <w:rsid w:val="008A477A"/>
    <w:rsid w:val="008A4C0C"/>
    <w:rsid w:val="008A56A2"/>
    <w:rsid w:val="008A5C73"/>
    <w:rsid w:val="008B0922"/>
    <w:rsid w:val="008B16E7"/>
    <w:rsid w:val="008B3D22"/>
    <w:rsid w:val="008B78E0"/>
    <w:rsid w:val="008C1A8C"/>
    <w:rsid w:val="008C337D"/>
    <w:rsid w:val="008D2E84"/>
    <w:rsid w:val="008D358E"/>
    <w:rsid w:val="008D4094"/>
    <w:rsid w:val="008D4B1D"/>
    <w:rsid w:val="008D4B23"/>
    <w:rsid w:val="008D561C"/>
    <w:rsid w:val="008D5A09"/>
    <w:rsid w:val="008D7333"/>
    <w:rsid w:val="008E0711"/>
    <w:rsid w:val="008E25F6"/>
    <w:rsid w:val="008E443A"/>
    <w:rsid w:val="008E6245"/>
    <w:rsid w:val="008E7D76"/>
    <w:rsid w:val="008F056D"/>
    <w:rsid w:val="008F0B3B"/>
    <w:rsid w:val="008F14C8"/>
    <w:rsid w:val="008F23E4"/>
    <w:rsid w:val="008F32DF"/>
    <w:rsid w:val="008F3D17"/>
    <w:rsid w:val="008F7C38"/>
    <w:rsid w:val="00900296"/>
    <w:rsid w:val="00900535"/>
    <w:rsid w:val="009009CF"/>
    <w:rsid w:val="00903CAE"/>
    <w:rsid w:val="00910159"/>
    <w:rsid w:val="0091147B"/>
    <w:rsid w:val="00911516"/>
    <w:rsid w:val="0091257A"/>
    <w:rsid w:val="00917438"/>
    <w:rsid w:val="00917DFA"/>
    <w:rsid w:val="00922A68"/>
    <w:rsid w:val="00925F01"/>
    <w:rsid w:val="00926C95"/>
    <w:rsid w:val="00926D9E"/>
    <w:rsid w:val="00927885"/>
    <w:rsid w:val="009323E7"/>
    <w:rsid w:val="00932D06"/>
    <w:rsid w:val="00933574"/>
    <w:rsid w:val="00935893"/>
    <w:rsid w:val="0094041D"/>
    <w:rsid w:val="0094142E"/>
    <w:rsid w:val="009417A8"/>
    <w:rsid w:val="009427F0"/>
    <w:rsid w:val="009468D7"/>
    <w:rsid w:val="00947EE8"/>
    <w:rsid w:val="00950354"/>
    <w:rsid w:val="0095175C"/>
    <w:rsid w:val="009538D0"/>
    <w:rsid w:val="00954D34"/>
    <w:rsid w:val="00956862"/>
    <w:rsid w:val="00957965"/>
    <w:rsid w:val="0096290F"/>
    <w:rsid w:val="009708F7"/>
    <w:rsid w:val="0097134C"/>
    <w:rsid w:val="00974453"/>
    <w:rsid w:val="00975843"/>
    <w:rsid w:val="00976FE6"/>
    <w:rsid w:val="00980B56"/>
    <w:rsid w:val="0098130F"/>
    <w:rsid w:val="009823E6"/>
    <w:rsid w:val="00982517"/>
    <w:rsid w:val="009828D0"/>
    <w:rsid w:val="00982E59"/>
    <w:rsid w:val="00991415"/>
    <w:rsid w:val="00992AD8"/>
    <w:rsid w:val="0099346F"/>
    <w:rsid w:val="009934F3"/>
    <w:rsid w:val="00995220"/>
    <w:rsid w:val="009965F8"/>
    <w:rsid w:val="00997E15"/>
    <w:rsid w:val="009A03ED"/>
    <w:rsid w:val="009A12A8"/>
    <w:rsid w:val="009A254F"/>
    <w:rsid w:val="009A3CC7"/>
    <w:rsid w:val="009A5B5D"/>
    <w:rsid w:val="009B0259"/>
    <w:rsid w:val="009B0FB4"/>
    <w:rsid w:val="009B18A6"/>
    <w:rsid w:val="009B44DC"/>
    <w:rsid w:val="009B5C1F"/>
    <w:rsid w:val="009B6E08"/>
    <w:rsid w:val="009C23DB"/>
    <w:rsid w:val="009C2B5E"/>
    <w:rsid w:val="009C33F4"/>
    <w:rsid w:val="009C3C35"/>
    <w:rsid w:val="009C6990"/>
    <w:rsid w:val="009D053C"/>
    <w:rsid w:val="009D0789"/>
    <w:rsid w:val="009D1BE4"/>
    <w:rsid w:val="009D1C71"/>
    <w:rsid w:val="009D2F5B"/>
    <w:rsid w:val="009D3111"/>
    <w:rsid w:val="009D362F"/>
    <w:rsid w:val="009D4E61"/>
    <w:rsid w:val="009D690F"/>
    <w:rsid w:val="009D6C64"/>
    <w:rsid w:val="009D72E3"/>
    <w:rsid w:val="009D7A30"/>
    <w:rsid w:val="009E13AC"/>
    <w:rsid w:val="009E1DF0"/>
    <w:rsid w:val="009E2A46"/>
    <w:rsid w:val="009E3FA8"/>
    <w:rsid w:val="009E463A"/>
    <w:rsid w:val="009E49CC"/>
    <w:rsid w:val="009F09E0"/>
    <w:rsid w:val="009F1104"/>
    <w:rsid w:val="009F51BD"/>
    <w:rsid w:val="009F6492"/>
    <w:rsid w:val="00A00392"/>
    <w:rsid w:val="00A00D01"/>
    <w:rsid w:val="00A0237F"/>
    <w:rsid w:val="00A02472"/>
    <w:rsid w:val="00A04A22"/>
    <w:rsid w:val="00A05B7B"/>
    <w:rsid w:val="00A05D35"/>
    <w:rsid w:val="00A06A8D"/>
    <w:rsid w:val="00A06B1A"/>
    <w:rsid w:val="00A11C6D"/>
    <w:rsid w:val="00A13FE0"/>
    <w:rsid w:val="00A16A53"/>
    <w:rsid w:val="00A16E3F"/>
    <w:rsid w:val="00A1740E"/>
    <w:rsid w:val="00A213E2"/>
    <w:rsid w:val="00A248E2"/>
    <w:rsid w:val="00A25939"/>
    <w:rsid w:val="00A301B9"/>
    <w:rsid w:val="00A30930"/>
    <w:rsid w:val="00A333FA"/>
    <w:rsid w:val="00A34272"/>
    <w:rsid w:val="00A36CD1"/>
    <w:rsid w:val="00A41991"/>
    <w:rsid w:val="00A42682"/>
    <w:rsid w:val="00A428E9"/>
    <w:rsid w:val="00A4309A"/>
    <w:rsid w:val="00A4356C"/>
    <w:rsid w:val="00A47A34"/>
    <w:rsid w:val="00A47DED"/>
    <w:rsid w:val="00A50376"/>
    <w:rsid w:val="00A50A4D"/>
    <w:rsid w:val="00A52C0C"/>
    <w:rsid w:val="00A54238"/>
    <w:rsid w:val="00A658FB"/>
    <w:rsid w:val="00A669ED"/>
    <w:rsid w:val="00A67112"/>
    <w:rsid w:val="00A71520"/>
    <w:rsid w:val="00A71746"/>
    <w:rsid w:val="00A72521"/>
    <w:rsid w:val="00A72D6A"/>
    <w:rsid w:val="00A75823"/>
    <w:rsid w:val="00A75FBB"/>
    <w:rsid w:val="00A7679F"/>
    <w:rsid w:val="00A81DFF"/>
    <w:rsid w:val="00A84124"/>
    <w:rsid w:val="00A844A4"/>
    <w:rsid w:val="00A845A7"/>
    <w:rsid w:val="00A846F6"/>
    <w:rsid w:val="00A84E47"/>
    <w:rsid w:val="00A84F74"/>
    <w:rsid w:val="00A857AA"/>
    <w:rsid w:val="00A85E14"/>
    <w:rsid w:val="00A8754B"/>
    <w:rsid w:val="00A9043C"/>
    <w:rsid w:val="00A94242"/>
    <w:rsid w:val="00A95ACC"/>
    <w:rsid w:val="00AA042B"/>
    <w:rsid w:val="00AA0A51"/>
    <w:rsid w:val="00AA0E0E"/>
    <w:rsid w:val="00AA11B0"/>
    <w:rsid w:val="00AA3B3E"/>
    <w:rsid w:val="00AB1D6D"/>
    <w:rsid w:val="00AB209A"/>
    <w:rsid w:val="00AB20B2"/>
    <w:rsid w:val="00AB43F2"/>
    <w:rsid w:val="00AB4856"/>
    <w:rsid w:val="00AB4A7B"/>
    <w:rsid w:val="00AB693C"/>
    <w:rsid w:val="00AB6B2B"/>
    <w:rsid w:val="00AB7595"/>
    <w:rsid w:val="00AC1782"/>
    <w:rsid w:val="00AC304E"/>
    <w:rsid w:val="00AC393D"/>
    <w:rsid w:val="00AC3B2D"/>
    <w:rsid w:val="00AC607A"/>
    <w:rsid w:val="00AD00DE"/>
    <w:rsid w:val="00AD0675"/>
    <w:rsid w:val="00AD0CD4"/>
    <w:rsid w:val="00AD1803"/>
    <w:rsid w:val="00AD2D55"/>
    <w:rsid w:val="00AD31D0"/>
    <w:rsid w:val="00AD352D"/>
    <w:rsid w:val="00AD37AF"/>
    <w:rsid w:val="00AD393B"/>
    <w:rsid w:val="00AD4BF0"/>
    <w:rsid w:val="00AD59AD"/>
    <w:rsid w:val="00AE1DD8"/>
    <w:rsid w:val="00AE207E"/>
    <w:rsid w:val="00AE27ED"/>
    <w:rsid w:val="00AE4A84"/>
    <w:rsid w:val="00AE70E0"/>
    <w:rsid w:val="00AF0065"/>
    <w:rsid w:val="00AF2301"/>
    <w:rsid w:val="00AF3848"/>
    <w:rsid w:val="00AF3CCF"/>
    <w:rsid w:val="00AF4BA2"/>
    <w:rsid w:val="00AF65AE"/>
    <w:rsid w:val="00AF7851"/>
    <w:rsid w:val="00B10AB8"/>
    <w:rsid w:val="00B10D02"/>
    <w:rsid w:val="00B1542C"/>
    <w:rsid w:val="00B21936"/>
    <w:rsid w:val="00B2350E"/>
    <w:rsid w:val="00B24AB1"/>
    <w:rsid w:val="00B30537"/>
    <w:rsid w:val="00B30DB8"/>
    <w:rsid w:val="00B35B81"/>
    <w:rsid w:val="00B379ED"/>
    <w:rsid w:val="00B436A4"/>
    <w:rsid w:val="00B440E5"/>
    <w:rsid w:val="00B4478C"/>
    <w:rsid w:val="00B4509A"/>
    <w:rsid w:val="00B46AE6"/>
    <w:rsid w:val="00B46E88"/>
    <w:rsid w:val="00B473E2"/>
    <w:rsid w:val="00B474E9"/>
    <w:rsid w:val="00B478B5"/>
    <w:rsid w:val="00B53162"/>
    <w:rsid w:val="00B53635"/>
    <w:rsid w:val="00B55ABA"/>
    <w:rsid w:val="00B56F0C"/>
    <w:rsid w:val="00B603DA"/>
    <w:rsid w:val="00B614C1"/>
    <w:rsid w:val="00B654B9"/>
    <w:rsid w:val="00B6559A"/>
    <w:rsid w:val="00B66768"/>
    <w:rsid w:val="00B66A3D"/>
    <w:rsid w:val="00B7180C"/>
    <w:rsid w:val="00B747CA"/>
    <w:rsid w:val="00B76926"/>
    <w:rsid w:val="00B76C65"/>
    <w:rsid w:val="00B776AE"/>
    <w:rsid w:val="00B778F6"/>
    <w:rsid w:val="00B77F7A"/>
    <w:rsid w:val="00B80E27"/>
    <w:rsid w:val="00B83BE0"/>
    <w:rsid w:val="00B83F4F"/>
    <w:rsid w:val="00B84724"/>
    <w:rsid w:val="00B84989"/>
    <w:rsid w:val="00B85F47"/>
    <w:rsid w:val="00B87438"/>
    <w:rsid w:val="00B87EBC"/>
    <w:rsid w:val="00B91600"/>
    <w:rsid w:val="00B9335D"/>
    <w:rsid w:val="00B93956"/>
    <w:rsid w:val="00B93CDE"/>
    <w:rsid w:val="00B967CC"/>
    <w:rsid w:val="00B96F7C"/>
    <w:rsid w:val="00BA02D8"/>
    <w:rsid w:val="00BA3B18"/>
    <w:rsid w:val="00BA4467"/>
    <w:rsid w:val="00BB0075"/>
    <w:rsid w:val="00BB18F1"/>
    <w:rsid w:val="00BB2E48"/>
    <w:rsid w:val="00BC053E"/>
    <w:rsid w:val="00BC14CF"/>
    <w:rsid w:val="00BC2ABB"/>
    <w:rsid w:val="00BC3B67"/>
    <w:rsid w:val="00BC5FD1"/>
    <w:rsid w:val="00BC6F73"/>
    <w:rsid w:val="00BC724E"/>
    <w:rsid w:val="00BD0948"/>
    <w:rsid w:val="00BD2027"/>
    <w:rsid w:val="00BD2708"/>
    <w:rsid w:val="00BD2F4A"/>
    <w:rsid w:val="00BD4E51"/>
    <w:rsid w:val="00BD5589"/>
    <w:rsid w:val="00BE0934"/>
    <w:rsid w:val="00BE14B6"/>
    <w:rsid w:val="00BE20A1"/>
    <w:rsid w:val="00BE2377"/>
    <w:rsid w:val="00BE4098"/>
    <w:rsid w:val="00BE67BC"/>
    <w:rsid w:val="00BE7F82"/>
    <w:rsid w:val="00BF038D"/>
    <w:rsid w:val="00BF1A9E"/>
    <w:rsid w:val="00BF1FFF"/>
    <w:rsid w:val="00BF3074"/>
    <w:rsid w:val="00BF4CB4"/>
    <w:rsid w:val="00BF5A0D"/>
    <w:rsid w:val="00BF6B1B"/>
    <w:rsid w:val="00C061C0"/>
    <w:rsid w:val="00C07881"/>
    <w:rsid w:val="00C14902"/>
    <w:rsid w:val="00C14A4F"/>
    <w:rsid w:val="00C158F7"/>
    <w:rsid w:val="00C20877"/>
    <w:rsid w:val="00C216ED"/>
    <w:rsid w:val="00C2185F"/>
    <w:rsid w:val="00C2240A"/>
    <w:rsid w:val="00C24B3A"/>
    <w:rsid w:val="00C2548F"/>
    <w:rsid w:val="00C263AF"/>
    <w:rsid w:val="00C27E83"/>
    <w:rsid w:val="00C30701"/>
    <w:rsid w:val="00C31194"/>
    <w:rsid w:val="00C3247F"/>
    <w:rsid w:val="00C342D8"/>
    <w:rsid w:val="00C43981"/>
    <w:rsid w:val="00C43FB2"/>
    <w:rsid w:val="00C4588C"/>
    <w:rsid w:val="00C4770A"/>
    <w:rsid w:val="00C4771A"/>
    <w:rsid w:val="00C5190F"/>
    <w:rsid w:val="00C5302E"/>
    <w:rsid w:val="00C53C57"/>
    <w:rsid w:val="00C54E17"/>
    <w:rsid w:val="00C55510"/>
    <w:rsid w:val="00C578FE"/>
    <w:rsid w:val="00C57EB0"/>
    <w:rsid w:val="00C60593"/>
    <w:rsid w:val="00C6476D"/>
    <w:rsid w:val="00C66D7D"/>
    <w:rsid w:val="00C70452"/>
    <w:rsid w:val="00C71680"/>
    <w:rsid w:val="00C751D9"/>
    <w:rsid w:val="00C80609"/>
    <w:rsid w:val="00C82A93"/>
    <w:rsid w:val="00C837C6"/>
    <w:rsid w:val="00C84CAD"/>
    <w:rsid w:val="00C8560E"/>
    <w:rsid w:val="00C858D1"/>
    <w:rsid w:val="00C90D25"/>
    <w:rsid w:val="00C91B1A"/>
    <w:rsid w:val="00C92241"/>
    <w:rsid w:val="00C92977"/>
    <w:rsid w:val="00C92A7F"/>
    <w:rsid w:val="00C93897"/>
    <w:rsid w:val="00C938E5"/>
    <w:rsid w:val="00C93E60"/>
    <w:rsid w:val="00C94A4A"/>
    <w:rsid w:val="00C963FC"/>
    <w:rsid w:val="00C9643B"/>
    <w:rsid w:val="00C96548"/>
    <w:rsid w:val="00C968F6"/>
    <w:rsid w:val="00CA1EFC"/>
    <w:rsid w:val="00CA2645"/>
    <w:rsid w:val="00CA2F78"/>
    <w:rsid w:val="00CA449E"/>
    <w:rsid w:val="00CA62E6"/>
    <w:rsid w:val="00CA6D64"/>
    <w:rsid w:val="00CB016D"/>
    <w:rsid w:val="00CB08B9"/>
    <w:rsid w:val="00CB160D"/>
    <w:rsid w:val="00CB360A"/>
    <w:rsid w:val="00CB419C"/>
    <w:rsid w:val="00CB4665"/>
    <w:rsid w:val="00CB50DF"/>
    <w:rsid w:val="00CB5F34"/>
    <w:rsid w:val="00CB652D"/>
    <w:rsid w:val="00CB678B"/>
    <w:rsid w:val="00CB7548"/>
    <w:rsid w:val="00CB7B10"/>
    <w:rsid w:val="00CC13CE"/>
    <w:rsid w:val="00CC1A48"/>
    <w:rsid w:val="00CC1F9D"/>
    <w:rsid w:val="00CC1FAE"/>
    <w:rsid w:val="00CC20A8"/>
    <w:rsid w:val="00CC232D"/>
    <w:rsid w:val="00CC28A6"/>
    <w:rsid w:val="00CC492F"/>
    <w:rsid w:val="00CC526E"/>
    <w:rsid w:val="00CC58A8"/>
    <w:rsid w:val="00CC6FBE"/>
    <w:rsid w:val="00CD06F2"/>
    <w:rsid w:val="00CD08C3"/>
    <w:rsid w:val="00CD122F"/>
    <w:rsid w:val="00CD35E9"/>
    <w:rsid w:val="00CD3A9F"/>
    <w:rsid w:val="00CD443F"/>
    <w:rsid w:val="00CD4C80"/>
    <w:rsid w:val="00CD5ABF"/>
    <w:rsid w:val="00CD6A2F"/>
    <w:rsid w:val="00CE07B2"/>
    <w:rsid w:val="00CE0EFB"/>
    <w:rsid w:val="00CE1BB4"/>
    <w:rsid w:val="00CE1FB0"/>
    <w:rsid w:val="00CE27C5"/>
    <w:rsid w:val="00CE2A64"/>
    <w:rsid w:val="00CE3D70"/>
    <w:rsid w:val="00CE4278"/>
    <w:rsid w:val="00CE620B"/>
    <w:rsid w:val="00CE6847"/>
    <w:rsid w:val="00CF6D44"/>
    <w:rsid w:val="00D01AEF"/>
    <w:rsid w:val="00D02426"/>
    <w:rsid w:val="00D039D0"/>
    <w:rsid w:val="00D051EB"/>
    <w:rsid w:val="00D06B98"/>
    <w:rsid w:val="00D06CE0"/>
    <w:rsid w:val="00D06EB9"/>
    <w:rsid w:val="00D073E5"/>
    <w:rsid w:val="00D10B98"/>
    <w:rsid w:val="00D11801"/>
    <w:rsid w:val="00D126C3"/>
    <w:rsid w:val="00D135A5"/>
    <w:rsid w:val="00D1372E"/>
    <w:rsid w:val="00D1491B"/>
    <w:rsid w:val="00D1672B"/>
    <w:rsid w:val="00D17C1B"/>
    <w:rsid w:val="00D17CA5"/>
    <w:rsid w:val="00D23A14"/>
    <w:rsid w:val="00D23A81"/>
    <w:rsid w:val="00D24F25"/>
    <w:rsid w:val="00D2642D"/>
    <w:rsid w:val="00D26B6F"/>
    <w:rsid w:val="00D273F3"/>
    <w:rsid w:val="00D3187B"/>
    <w:rsid w:val="00D33095"/>
    <w:rsid w:val="00D339E2"/>
    <w:rsid w:val="00D4280B"/>
    <w:rsid w:val="00D42892"/>
    <w:rsid w:val="00D43702"/>
    <w:rsid w:val="00D45EF1"/>
    <w:rsid w:val="00D4676D"/>
    <w:rsid w:val="00D47081"/>
    <w:rsid w:val="00D51B85"/>
    <w:rsid w:val="00D523A4"/>
    <w:rsid w:val="00D5591E"/>
    <w:rsid w:val="00D6050C"/>
    <w:rsid w:val="00D610A5"/>
    <w:rsid w:val="00D62E0E"/>
    <w:rsid w:val="00D63118"/>
    <w:rsid w:val="00D63F7D"/>
    <w:rsid w:val="00D66237"/>
    <w:rsid w:val="00D66A8C"/>
    <w:rsid w:val="00D67220"/>
    <w:rsid w:val="00D6783A"/>
    <w:rsid w:val="00D67F8D"/>
    <w:rsid w:val="00D73788"/>
    <w:rsid w:val="00D752DB"/>
    <w:rsid w:val="00D75D47"/>
    <w:rsid w:val="00D76D3C"/>
    <w:rsid w:val="00D77B1F"/>
    <w:rsid w:val="00D80241"/>
    <w:rsid w:val="00D80BAA"/>
    <w:rsid w:val="00D83C8C"/>
    <w:rsid w:val="00D846FC"/>
    <w:rsid w:val="00D86539"/>
    <w:rsid w:val="00D868B8"/>
    <w:rsid w:val="00D87533"/>
    <w:rsid w:val="00D92718"/>
    <w:rsid w:val="00D9295D"/>
    <w:rsid w:val="00D94712"/>
    <w:rsid w:val="00D96635"/>
    <w:rsid w:val="00D97B53"/>
    <w:rsid w:val="00DA471C"/>
    <w:rsid w:val="00DA6228"/>
    <w:rsid w:val="00DA6AC2"/>
    <w:rsid w:val="00DA7967"/>
    <w:rsid w:val="00DB0968"/>
    <w:rsid w:val="00DB3E31"/>
    <w:rsid w:val="00DB3EB4"/>
    <w:rsid w:val="00DB4773"/>
    <w:rsid w:val="00DB5F03"/>
    <w:rsid w:val="00DB66D1"/>
    <w:rsid w:val="00DC0F23"/>
    <w:rsid w:val="00DC156F"/>
    <w:rsid w:val="00DC4E3C"/>
    <w:rsid w:val="00DC7453"/>
    <w:rsid w:val="00DC74C4"/>
    <w:rsid w:val="00DD1382"/>
    <w:rsid w:val="00DD25C4"/>
    <w:rsid w:val="00DD3220"/>
    <w:rsid w:val="00DD335A"/>
    <w:rsid w:val="00DD5BAC"/>
    <w:rsid w:val="00DD65A2"/>
    <w:rsid w:val="00DD66B2"/>
    <w:rsid w:val="00DD6E8E"/>
    <w:rsid w:val="00DD6FAE"/>
    <w:rsid w:val="00DD717F"/>
    <w:rsid w:val="00DD74AA"/>
    <w:rsid w:val="00DD7B90"/>
    <w:rsid w:val="00DE18C4"/>
    <w:rsid w:val="00DE2316"/>
    <w:rsid w:val="00DE26EA"/>
    <w:rsid w:val="00DE2DE5"/>
    <w:rsid w:val="00DE4353"/>
    <w:rsid w:val="00DE44F4"/>
    <w:rsid w:val="00DE5CDC"/>
    <w:rsid w:val="00DE5EB9"/>
    <w:rsid w:val="00DE6695"/>
    <w:rsid w:val="00DF40F3"/>
    <w:rsid w:val="00DF5A53"/>
    <w:rsid w:val="00E036B2"/>
    <w:rsid w:val="00E06F71"/>
    <w:rsid w:val="00E06FBC"/>
    <w:rsid w:val="00E11D15"/>
    <w:rsid w:val="00E12E3A"/>
    <w:rsid w:val="00E13AE4"/>
    <w:rsid w:val="00E14103"/>
    <w:rsid w:val="00E14FB6"/>
    <w:rsid w:val="00E2339B"/>
    <w:rsid w:val="00E2420C"/>
    <w:rsid w:val="00E25700"/>
    <w:rsid w:val="00E25857"/>
    <w:rsid w:val="00E322DC"/>
    <w:rsid w:val="00E34548"/>
    <w:rsid w:val="00E34FA9"/>
    <w:rsid w:val="00E351EF"/>
    <w:rsid w:val="00E36876"/>
    <w:rsid w:val="00E40294"/>
    <w:rsid w:val="00E44273"/>
    <w:rsid w:val="00E44C69"/>
    <w:rsid w:val="00E47A00"/>
    <w:rsid w:val="00E47C11"/>
    <w:rsid w:val="00E507DD"/>
    <w:rsid w:val="00E52B6A"/>
    <w:rsid w:val="00E55F79"/>
    <w:rsid w:val="00E60288"/>
    <w:rsid w:val="00E6085A"/>
    <w:rsid w:val="00E63FC6"/>
    <w:rsid w:val="00E640C9"/>
    <w:rsid w:val="00E658AA"/>
    <w:rsid w:val="00E672A6"/>
    <w:rsid w:val="00E70680"/>
    <w:rsid w:val="00E738AC"/>
    <w:rsid w:val="00E74DD7"/>
    <w:rsid w:val="00E76B30"/>
    <w:rsid w:val="00E76B74"/>
    <w:rsid w:val="00E76E18"/>
    <w:rsid w:val="00E778C7"/>
    <w:rsid w:val="00E80F1D"/>
    <w:rsid w:val="00E86AFD"/>
    <w:rsid w:val="00E87ADC"/>
    <w:rsid w:val="00E90249"/>
    <w:rsid w:val="00E9140F"/>
    <w:rsid w:val="00E922D4"/>
    <w:rsid w:val="00E92991"/>
    <w:rsid w:val="00E93D9B"/>
    <w:rsid w:val="00E96F20"/>
    <w:rsid w:val="00EA1B20"/>
    <w:rsid w:val="00EA3BE8"/>
    <w:rsid w:val="00EA3F79"/>
    <w:rsid w:val="00EA44CA"/>
    <w:rsid w:val="00EA4BD4"/>
    <w:rsid w:val="00EA696B"/>
    <w:rsid w:val="00EB0EEC"/>
    <w:rsid w:val="00EB30F0"/>
    <w:rsid w:val="00EB40C3"/>
    <w:rsid w:val="00EB41D3"/>
    <w:rsid w:val="00EB5719"/>
    <w:rsid w:val="00EC1B94"/>
    <w:rsid w:val="00EC2556"/>
    <w:rsid w:val="00EC29A2"/>
    <w:rsid w:val="00EC55E1"/>
    <w:rsid w:val="00EC69AB"/>
    <w:rsid w:val="00EC6BCC"/>
    <w:rsid w:val="00ED08AB"/>
    <w:rsid w:val="00ED0D6D"/>
    <w:rsid w:val="00ED1080"/>
    <w:rsid w:val="00ED1FE9"/>
    <w:rsid w:val="00ED35E1"/>
    <w:rsid w:val="00EE0065"/>
    <w:rsid w:val="00EE0462"/>
    <w:rsid w:val="00EE1073"/>
    <w:rsid w:val="00EE4002"/>
    <w:rsid w:val="00EE66B8"/>
    <w:rsid w:val="00EE769B"/>
    <w:rsid w:val="00EE7FB5"/>
    <w:rsid w:val="00EF06ED"/>
    <w:rsid w:val="00EF2C49"/>
    <w:rsid w:val="00EF2CB3"/>
    <w:rsid w:val="00EF39E5"/>
    <w:rsid w:val="00EF5616"/>
    <w:rsid w:val="00EF5D32"/>
    <w:rsid w:val="00EF5D36"/>
    <w:rsid w:val="00EF63CC"/>
    <w:rsid w:val="00F00470"/>
    <w:rsid w:val="00F00CA7"/>
    <w:rsid w:val="00F00CC7"/>
    <w:rsid w:val="00F00FF5"/>
    <w:rsid w:val="00F02D45"/>
    <w:rsid w:val="00F04A07"/>
    <w:rsid w:val="00F06DE1"/>
    <w:rsid w:val="00F073EC"/>
    <w:rsid w:val="00F10BC1"/>
    <w:rsid w:val="00F16740"/>
    <w:rsid w:val="00F17276"/>
    <w:rsid w:val="00F17710"/>
    <w:rsid w:val="00F21E84"/>
    <w:rsid w:val="00F27428"/>
    <w:rsid w:val="00F30384"/>
    <w:rsid w:val="00F315A5"/>
    <w:rsid w:val="00F32370"/>
    <w:rsid w:val="00F354E9"/>
    <w:rsid w:val="00F35766"/>
    <w:rsid w:val="00F3749A"/>
    <w:rsid w:val="00F3792F"/>
    <w:rsid w:val="00F37E48"/>
    <w:rsid w:val="00F40463"/>
    <w:rsid w:val="00F40675"/>
    <w:rsid w:val="00F40D7E"/>
    <w:rsid w:val="00F42699"/>
    <w:rsid w:val="00F4274A"/>
    <w:rsid w:val="00F45AD5"/>
    <w:rsid w:val="00F472A4"/>
    <w:rsid w:val="00F50157"/>
    <w:rsid w:val="00F507DB"/>
    <w:rsid w:val="00F51BCF"/>
    <w:rsid w:val="00F52EC6"/>
    <w:rsid w:val="00F53CFF"/>
    <w:rsid w:val="00F5463D"/>
    <w:rsid w:val="00F55F70"/>
    <w:rsid w:val="00F613C5"/>
    <w:rsid w:val="00F61876"/>
    <w:rsid w:val="00F64F53"/>
    <w:rsid w:val="00F67DFC"/>
    <w:rsid w:val="00F707C2"/>
    <w:rsid w:val="00F7262C"/>
    <w:rsid w:val="00F800DF"/>
    <w:rsid w:val="00F82480"/>
    <w:rsid w:val="00F83D09"/>
    <w:rsid w:val="00F840FB"/>
    <w:rsid w:val="00F846F8"/>
    <w:rsid w:val="00F8747A"/>
    <w:rsid w:val="00F90826"/>
    <w:rsid w:val="00F909E9"/>
    <w:rsid w:val="00F9308B"/>
    <w:rsid w:val="00F97008"/>
    <w:rsid w:val="00FA5013"/>
    <w:rsid w:val="00FB11A2"/>
    <w:rsid w:val="00FB1BC5"/>
    <w:rsid w:val="00FB2E30"/>
    <w:rsid w:val="00FB72C7"/>
    <w:rsid w:val="00FC374C"/>
    <w:rsid w:val="00FC3B23"/>
    <w:rsid w:val="00FC3D84"/>
    <w:rsid w:val="00FC4158"/>
    <w:rsid w:val="00FC506E"/>
    <w:rsid w:val="00FC5DBB"/>
    <w:rsid w:val="00FC65A8"/>
    <w:rsid w:val="00FD307D"/>
    <w:rsid w:val="00FD49D7"/>
    <w:rsid w:val="00FD57BB"/>
    <w:rsid w:val="00FD5E67"/>
    <w:rsid w:val="00FE0ACF"/>
    <w:rsid w:val="00FE1862"/>
    <w:rsid w:val="00FE1BC9"/>
    <w:rsid w:val="00FE1C49"/>
    <w:rsid w:val="00FE36AD"/>
    <w:rsid w:val="00FE4CC2"/>
    <w:rsid w:val="00FE605D"/>
    <w:rsid w:val="00FE6227"/>
    <w:rsid w:val="00FE7BA1"/>
    <w:rsid w:val="00FF24A1"/>
    <w:rsid w:val="00FF2523"/>
    <w:rsid w:val="00FF4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A94E79"/>
  <w15:docId w15:val="{51B0100C-00C8-473C-8386-637E1339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9E"/>
    <w:pPr>
      <w:bidi/>
    </w:pPr>
    <w:rPr>
      <w:rFonts w:cs="David"/>
      <w:b/>
      <w:bCs/>
      <w:sz w:val="24"/>
      <w:szCs w:val="26"/>
      <w:lang w:eastAsia="he-IL"/>
    </w:rPr>
  </w:style>
  <w:style w:type="paragraph" w:styleId="Heading1">
    <w:name w:val="heading 1"/>
    <w:basedOn w:val="Head1Release"/>
    <w:next w:val="Normal"/>
    <w:qFormat/>
    <w:rsid w:val="00B46E88"/>
    <w:pPr>
      <w:spacing w:after="200"/>
      <w:outlineLvl w:val="0"/>
    </w:pPr>
    <w:rPr>
      <w:snapToGrid/>
    </w:rPr>
  </w:style>
  <w:style w:type="paragraph" w:styleId="Heading2">
    <w:name w:val="heading 2"/>
    <w:basedOn w:val="Normal"/>
    <w:next w:val="text1"/>
    <w:qFormat/>
    <w:rsid w:val="00636749"/>
    <w:pPr>
      <w:bidi w:val="0"/>
      <w:spacing w:before="240" w:after="120" w:line="360" w:lineRule="auto"/>
      <w:outlineLvl w:val="1"/>
    </w:pPr>
    <w:rPr>
      <w:rFonts w:ascii="Arial" w:hAnsi="Arial" w:cs="Arial"/>
      <w:color w:val="4F81BD"/>
      <w:szCs w:val="24"/>
    </w:rPr>
  </w:style>
  <w:style w:type="paragraph" w:styleId="Heading3">
    <w:name w:val="heading 3"/>
    <w:basedOn w:val="Normal"/>
    <w:next w:val="text1"/>
    <w:qFormat/>
    <w:rsid w:val="008C337D"/>
    <w:pPr>
      <w:bidi w:val="0"/>
      <w:spacing w:after="120" w:line="360" w:lineRule="auto"/>
      <w:outlineLvl w:val="2"/>
    </w:pPr>
    <w:rPr>
      <w:rFonts w:ascii="Arial" w:hAnsi="Arial" w:cs="Arial"/>
      <w:color w:val="215868"/>
      <w:szCs w:val="24"/>
    </w:rPr>
  </w:style>
  <w:style w:type="paragraph" w:styleId="Heading7">
    <w:name w:val="heading 7"/>
    <w:basedOn w:val="Normal"/>
    <w:next w:val="Normal"/>
    <w:qFormat/>
    <w:rsid w:val="002274D8"/>
    <w:pPr>
      <w:spacing w:before="240" w:after="60"/>
      <w:outlineLvl w:val="6"/>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015E72"/>
    <w:rPr>
      <w:rFonts w:ascii="Tahoma" w:hAnsi="Tahoma" w:cs="Tahoma"/>
      <w:sz w:val="16"/>
      <w:szCs w:val="16"/>
    </w:rPr>
  </w:style>
  <w:style w:type="paragraph" w:customStyle="1" w:styleId="1">
    <w:name w:val="סגנון1"/>
    <w:basedOn w:val="Normal"/>
    <w:rsid w:val="00B747CA"/>
    <w:pPr>
      <w:spacing w:before="120" w:line="360" w:lineRule="auto"/>
      <w:ind w:right="340"/>
      <w:jc w:val="both"/>
    </w:pPr>
    <w:rPr>
      <w:b w:val="0"/>
      <w:bCs w:val="0"/>
      <w:sz w:val="20"/>
      <w:szCs w:val="24"/>
      <w:lang w:eastAsia="en-US"/>
    </w:rPr>
  </w:style>
  <w:style w:type="paragraph" w:styleId="Title">
    <w:name w:val="Title"/>
    <w:basedOn w:val="Normal"/>
    <w:qFormat/>
    <w:rsid w:val="006D44C3"/>
    <w:pPr>
      <w:spacing w:line="360" w:lineRule="auto"/>
      <w:jc w:val="center"/>
    </w:pPr>
    <w:rPr>
      <w:rFonts w:cs="Narkisim"/>
      <w:b w:val="0"/>
      <w:bCs w:val="0"/>
      <w:snapToGrid w:val="0"/>
      <w:sz w:val="20"/>
      <w:szCs w:val="32"/>
      <w:u w:val="single"/>
    </w:rPr>
  </w:style>
  <w:style w:type="paragraph" w:styleId="Subtitle">
    <w:name w:val="Subtitle"/>
    <w:basedOn w:val="Normal"/>
    <w:qFormat/>
    <w:rsid w:val="006D44C3"/>
    <w:pPr>
      <w:spacing w:line="360" w:lineRule="auto"/>
      <w:jc w:val="center"/>
    </w:pPr>
    <w:rPr>
      <w:rFonts w:cs="Narkisim"/>
      <w:snapToGrid w:val="0"/>
      <w:sz w:val="20"/>
      <w:szCs w:val="24"/>
    </w:rPr>
  </w:style>
  <w:style w:type="paragraph" w:styleId="BodyText2">
    <w:name w:val="Body Text 2"/>
    <w:basedOn w:val="Normal"/>
    <w:rsid w:val="006D44C3"/>
    <w:pPr>
      <w:spacing w:line="360" w:lineRule="auto"/>
      <w:jc w:val="both"/>
    </w:pPr>
    <w:rPr>
      <w:b w:val="0"/>
      <w:bCs w:val="0"/>
      <w:sz w:val="26"/>
    </w:rPr>
  </w:style>
  <w:style w:type="character" w:styleId="PageNumber">
    <w:name w:val="page number"/>
    <w:basedOn w:val="DefaultParagraphFont"/>
    <w:rsid w:val="009538D0"/>
  </w:style>
  <w:style w:type="character" w:styleId="CommentReference">
    <w:name w:val="annotation reference"/>
    <w:semiHidden/>
    <w:rsid w:val="00A05D35"/>
    <w:rPr>
      <w:sz w:val="16"/>
      <w:szCs w:val="16"/>
    </w:rPr>
  </w:style>
  <w:style w:type="paragraph" w:styleId="CommentText">
    <w:name w:val="annotation text"/>
    <w:basedOn w:val="Normal"/>
    <w:semiHidden/>
    <w:rsid w:val="00A05D35"/>
    <w:rPr>
      <w:sz w:val="20"/>
      <w:szCs w:val="20"/>
    </w:rPr>
  </w:style>
  <w:style w:type="paragraph" w:styleId="CommentSubject">
    <w:name w:val="annotation subject"/>
    <w:basedOn w:val="CommentText"/>
    <w:next w:val="CommentText"/>
    <w:semiHidden/>
    <w:rsid w:val="00A05D35"/>
  </w:style>
  <w:style w:type="paragraph" w:styleId="FootnoteText">
    <w:name w:val="footnote text"/>
    <w:link w:val="FootnoteTextChar"/>
    <w:uiPriority w:val="99"/>
    <w:rsid w:val="00CA449E"/>
    <w:rPr>
      <w:rFonts w:ascii="Arial" w:hAnsi="Arial" w:cs="David"/>
      <w:sz w:val="24"/>
      <w:lang w:eastAsia="he-IL"/>
    </w:rPr>
  </w:style>
  <w:style w:type="character" w:styleId="FootnoteReference">
    <w:name w:val="footnote reference"/>
    <w:uiPriority w:val="99"/>
    <w:rsid w:val="00677425"/>
    <w:rPr>
      <w:rFonts w:cs="Arial"/>
      <w:szCs w:val="20"/>
      <w:vertAlign w:val="superscript"/>
    </w:rPr>
  </w:style>
  <w:style w:type="paragraph" w:styleId="DocumentMap">
    <w:name w:val="Document Map"/>
    <w:basedOn w:val="Normal"/>
    <w:semiHidden/>
    <w:rsid w:val="00D26B6F"/>
    <w:pPr>
      <w:shd w:val="clear" w:color="auto" w:fill="000080"/>
    </w:pPr>
    <w:rPr>
      <w:rFonts w:ascii="Tahoma" w:hAnsi="Tahoma" w:cs="Tahoma"/>
      <w:sz w:val="20"/>
      <w:szCs w:val="20"/>
    </w:rPr>
  </w:style>
  <w:style w:type="table" w:styleId="TableGrid">
    <w:name w:val="Table Grid"/>
    <w:basedOn w:val="TableNormal"/>
    <w:rsid w:val="00410E4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טקסט"/>
    <w:basedOn w:val="Normal"/>
    <w:rsid w:val="00DE4353"/>
    <w:pPr>
      <w:spacing w:before="120"/>
      <w:ind w:left="397"/>
      <w:jc w:val="both"/>
    </w:pPr>
    <w:rPr>
      <w:b w:val="0"/>
      <w:bCs w:val="0"/>
      <w:sz w:val="20"/>
      <w:szCs w:val="24"/>
    </w:rPr>
  </w:style>
  <w:style w:type="paragraph" w:styleId="BodyText">
    <w:name w:val="Body Text"/>
    <w:basedOn w:val="Normal"/>
    <w:rsid w:val="00BF1FFF"/>
    <w:pPr>
      <w:spacing w:after="120"/>
    </w:pPr>
  </w:style>
  <w:style w:type="character" w:customStyle="1" w:styleId="FootnoteTextChar">
    <w:name w:val="Footnote Text Char"/>
    <w:link w:val="FootnoteText"/>
    <w:rsid w:val="00CA449E"/>
    <w:rPr>
      <w:rFonts w:ascii="Arial" w:hAnsi="Arial" w:cs="David"/>
      <w:sz w:val="24"/>
      <w:lang w:eastAsia="he-IL"/>
    </w:rPr>
  </w:style>
  <w:style w:type="character" w:styleId="FollowedHyperlink">
    <w:name w:val="FollowedHyperlink"/>
    <w:rsid w:val="00BC6F73"/>
    <w:rPr>
      <w:color w:val="800080"/>
      <w:u w:val="single"/>
    </w:rPr>
  </w:style>
  <w:style w:type="paragraph" w:customStyle="1" w:styleId="Head1Release">
    <w:name w:val="Head1_Release"/>
    <w:next w:val="BodyText"/>
    <w:rsid w:val="007A6177"/>
    <w:pPr>
      <w:spacing w:line="360" w:lineRule="auto"/>
      <w:jc w:val="center"/>
    </w:pPr>
    <w:rPr>
      <w:rFonts w:ascii="Arial" w:hAnsi="Arial" w:cs="Arial"/>
      <w:b/>
      <w:bCs/>
      <w:snapToGrid w:val="0"/>
      <w:color w:val="215868"/>
      <w:sz w:val="28"/>
      <w:szCs w:val="28"/>
      <w:lang w:eastAsia="he-IL"/>
    </w:rPr>
  </w:style>
  <w:style w:type="paragraph" w:customStyle="1" w:styleId="Bulletsbodytext">
    <w:name w:val="Bullets + body text"/>
    <w:qFormat/>
    <w:rsid w:val="007A6177"/>
    <w:pPr>
      <w:tabs>
        <w:tab w:val="num" w:pos="720"/>
      </w:tabs>
      <w:spacing w:after="120" w:line="360" w:lineRule="auto"/>
      <w:ind w:left="720" w:right="720" w:hanging="360"/>
      <w:jc w:val="both"/>
    </w:pPr>
    <w:rPr>
      <w:rFonts w:ascii="Arial" w:hAnsi="Arial" w:cs="Arial"/>
      <w:bCs/>
      <w:sz w:val="22"/>
      <w:szCs w:val="22"/>
      <w:lang w:eastAsia="en-GB"/>
    </w:rPr>
  </w:style>
  <w:style w:type="paragraph" w:styleId="ListParagraph">
    <w:name w:val="List Paragraph"/>
    <w:basedOn w:val="Normal"/>
    <w:uiPriority w:val="34"/>
    <w:qFormat/>
    <w:rsid w:val="00FE6227"/>
    <w:pPr>
      <w:ind w:left="720"/>
      <w:contextualSpacing/>
    </w:pPr>
  </w:style>
  <w:style w:type="paragraph" w:customStyle="1" w:styleId="flushright1">
    <w:name w:val="flushright1"/>
    <w:basedOn w:val="Normal"/>
    <w:qFormat/>
    <w:rsid w:val="00B46E88"/>
    <w:pPr>
      <w:bidi w:val="0"/>
      <w:spacing w:before="160" w:after="80"/>
      <w:jc w:val="right"/>
    </w:pPr>
    <w:rPr>
      <w:rFonts w:asciiTheme="minorBidi" w:hAnsiTheme="minorBidi" w:cstheme="minorBidi"/>
      <w:b w:val="0"/>
      <w:bCs w:val="0"/>
    </w:rPr>
  </w:style>
  <w:style w:type="paragraph" w:customStyle="1" w:styleId="flushright2">
    <w:name w:val="flushright2"/>
    <w:basedOn w:val="Normal"/>
    <w:qFormat/>
    <w:rsid w:val="00B46E88"/>
    <w:pPr>
      <w:bidi w:val="0"/>
      <w:spacing w:after="80"/>
      <w:jc w:val="right"/>
    </w:pPr>
    <w:rPr>
      <w:rFonts w:asciiTheme="minorBidi" w:eastAsia="Arial Unicode MS" w:hAnsiTheme="minorBidi" w:cstheme="minorBidi"/>
      <w:b w:val="0"/>
      <w:bCs w:val="0"/>
    </w:rPr>
  </w:style>
  <w:style w:type="paragraph" w:customStyle="1" w:styleId="flushright3">
    <w:name w:val="flushright3"/>
    <w:basedOn w:val="Normal"/>
    <w:qFormat/>
    <w:rsid w:val="00B46E88"/>
    <w:pPr>
      <w:bidi w:val="0"/>
      <w:spacing w:after="240"/>
      <w:jc w:val="right"/>
    </w:pPr>
    <w:rPr>
      <w:rFonts w:asciiTheme="minorBidi" w:hAnsiTheme="minorBidi" w:cstheme="minorBidi"/>
      <w:b w:val="0"/>
      <w:bCs w:val="0"/>
    </w:rPr>
  </w:style>
  <w:style w:type="paragraph" w:customStyle="1" w:styleId="boxtop">
    <w:name w:val="boxtop"/>
    <w:basedOn w:val="Normal"/>
    <w:qFormat/>
    <w:rsid w:val="00B46E88"/>
    <w:pPr>
      <w:pBdr>
        <w:top w:val="single" w:sz="4" w:space="8" w:color="auto"/>
        <w:left w:val="single" w:sz="4" w:space="4" w:color="auto"/>
        <w:bottom w:val="single" w:sz="4" w:space="1" w:color="auto"/>
        <w:right w:val="single" w:sz="4" w:space="4" w:color="auto"/>
      </w:pBdr>
      <w:tabs>
        <w:tab w:val="num" w:pos="720"/>
      </w:tabs>
      <w:bidi w:val="0"/>
      <w:spacing w:after="120" w:line="360" w:lineRule="auto"/>
      <w:ind w:left="720" w:hanging="360"/>
    </w:pPr>
    <w:rPr>
      <w:rFonts w:ascii="Arial" w:hAnsi="Arial" w:cs="Arial"/>
      <w:b w:val="0"/>
      <w:bCs w:val="0"/>
      <w:szCs w:val="24"/>
    </w:rPr>
  </w:style>
  <w:style w:type="paragraph" w:customStyle="1" w:styleId="bullet1">
    <w:name w:val="bullet1"/>
    <w:basedOn w:val="Normal"/>
    <w:qFormat/>
    <w:rsid w:val="00CE2A64"/>
    <w:pPr>
      <w:numPr>
        <w:numId w:val="21"/>
      </w:numPr>
      <w:pBdr>
        <w:top w:val="single" w:sz="4" w:space="8" w:color="auto"/>
        <w:left w:val="single" w:sz="4" w:space="4" w:color="auto"/>
        <w:bottom w:val="single" w:sz="4" w:space="1" w:color="auto"/>
        <w:right w:val="single" w:sz="4" w:space="4" w:color="auto"/>
      </w:pBdr>
      <w:bidi w:val="0"/>
      <w:spacing w:after="120" w:line="360" w:lineRule="auto"/>
    </w:pPr>
    <w:rPr>
      <w:rFonts w:asciiTheme="minorBidi" w:hAnsiTheme="minorBidi" w:cstheme="minorBidi"/>
      <w:b w:val="0"/>
      <w:bCs w:val="0"/>
      <w:szCs w:val="24"/>
    </w:rPr>
  </w:style>
  <w:style w:type="paragraph" w:customStyle="1" w:styleId="diagramheading">
    <w:name w:val="diagramheading"/>
    <w:basedOn w:val="Normal"/>
    <w:qFormat/>
    <w:rsid w:val="00E640C9"/>
    <w:pPr>
      <w:bidi w:val="0"/>
      <w:spacing w:after="120" w:line="360" w:lineRule="auto"/>
      <w:jc w:val="center"/>
    </w:pPr>
    <w:rPr>
      <w:rFonts w:ascii="Arial" w:hAnsi="Arial" w:cs="Arial"/>
      <w:szCs w:val="24"/>
    </w:rPr>
  </w:style>
  <w:style w:type="paragraph" w:customStyle="1" w:styleId="bullet2">
    <w:name w:val="bullet2"/>
    <w:basedOn w:val="Normal"/>
    <w:qFormat/>
    <w:rsid w:val="00E640C9"/>
    <w:pPr>
      <w:numPr>
        <w:numId w:val="29"/>
      </w:numPr>
      <w:bidi w:val="0"/>
      <w:spacing w:after="120" w:line="360" w:lineRule="auto"/>
    </w:pPr>
    <w:rPr>
      <w:rFonts w:ascii="Arial" w:hAnsi="Arial" w:cs="Arial"/>
      <w:b w:val="0"/>
      <w:bCs w:val="0"/>
      <w:szCs w:val="24"/>
    </w:rPr>
  </w:style>
  <w:style w:type="character" w:customStyle="1" w:styleId="FooterChar">
    <w:name w:val="Footer Char"/>
    <w:basedOn w:val="DefaultParagraphFont"/>
    <w:link w:val="Footer"/>
    <w:uiPriority w:val="99"/>
    <w:rsid w:val="004150CC"/>
    <w:rPr>
      <w:rFonts w:cs="David"/>
      <w:b/>
      <w:bCs/>
      <w:sz w:val="24"/>
      <w:szCs w:val="26"/>
      <w:lang w:eastAsia="he-IL"/>
    </w:rPr>
  </w:style>
  <w:style w:type="paragraph" w:customStyle="1" w:styleId="text1">
    <w:name w:val="text1"/>
    <w:basedOn w:val="bullet2"/>
    <w:qFormat/>
    <w:rsid w:val="004812FD"/>
    <w:pPr>
      <w:numPr>
        <w:numId w:val="0"/>
      </w:numPr>
    </w:pPr>
    <w:rPr>
      <w:lang w:eastAsia="en-US"/>
    </w:rPr>
  </w:style>
  <w:style w:type="paragraph" w:customStyle="1" w:styleId="center">
    <w:name w:val="center"/>
    <w:basedOn w:val="text1"/>
    <w:next w:val="text1"/>
    <w:qFormat/>
    <w:rsid w:val="004812FD"/>
    <w:pPr>
      <w:jc w:val="center"/>
    </w:pPr>
    <w:rPr>
      <w:noProof/>
    </w:rPr>
  </w:style>
  <w:style w:type="paragraph" w:customStyle="1" w:styleId="aftertablenote">
    <w:name w:val="aftertablenote"/>
    <w:basedOn w:val="text1"/>
    <w:qFormat/>
    <w:rsid w:val="00CB7548"/>
    <w:pPr>
      <w:numPr>
        <w:numId w:val="34"/>
      </w:numPr>
    </w:pPr>
  </w:style>
  <w:style w:type="paragraph" w:customStyle="1" w:styleId="fn1">
    <w:name w:val="fn1"/>
    <w:basedOn w:val="FootnoteText"/>
    <w:qFormat/>
    <w:rsid w:val="001219E9"/>
    <w:pPr>
      <w:spacing w:before="80" w:after="80"/>
    </w:pPr>
    <w:rPr>
      <w:rFonts w:asciiTheme="minorBidi" w:hAnsiTheme="minorBidi" w:cstheme="minorBidi"/>
      <w:szCs w:val="24"/>
    </w:rPr>
  </w:style>
  <w:style w:type="paragraph" w:customStyle="1" w:styleId="fn2">
    <w:name w:val="fn2"/>
    <w:basedOn w:val="FootnoteText"/>
    <w:qFormat/>
    <w:rsid w:val="00AA0A51"/>
    <w:pPr>
      <w:spacing w:before="80" w:after="80"/>
    </w:pPr>
    <w:rPr>
      <w:rFonts w:asciiTheme="minorBidi" w:hAnsiTheme="minorBidi" w:cstheme="minorBidi"/>
      <w:szCs w:val="24"/>
    </w:rPr>
  </w:style>
  <w:style w:type="paragraph" w:customStyle="1" w:styleId="plainbullet1">
    <w:name w:val="plainbullet1"/>
    <w:basedOn w:val="text1"/>
    <w:qFormat/>
    <w:rsid w:val="005E750A"/>
    <w:pPr>
      <w:numPr>
        <w:numId w:val="36"/>
      </w:numPr>
      <w:spacing w:after="0"/>
    </w:pPr>
    <w:rPr>
      <w:lang w:eastAsia="he-IL"/>
    </w:rPr>
  </w:style>
  <w:style w:type="paragraph" w:styleId="EndnoteText">
    <w:name w:val="endnote text"/>
    <w:basedOn w:val="Normal"/>
    <w:link w:val="EndnoteTextChar"/>
    <w:semiHidden/>
    <w:unhideWhenUsed/>
    <w:rsid w:val="00220E5D"/>
    <w:rPr>
      <w:sz w:val="20"/>
      <w:szCs w:val="20"/>
    </w:rPr>
  </w:style>
  <w:style w:type="character" w:customStyle="1" w:styleId="EndnoteTextChar">
    <w:name w:val="Endnote Text Char"/>
    <w:basedOn w:val="DefaultParagraphFont"/>
    <w:link w:val="EndnoteText"/>
    <w:semiHidden/>
    <w:rsid w:val="00220E5D"/>
    <w:rPr>
      <w:rFonts w:cs="David"/>
      <w:b/>
      <w:bCs/>
      <w:lang w:eastAsia="he-IL"/>
    </w:rPr>
  </w:style>
  <w:style w:type="character" w:styleId="EndnoteReference">
    <w:name w:val="endnote reference"/>
    <w:basedOn w:val="DefaultParagraphFont"/>
    <w:semiHidden/>
    <w:unhideWhenUsed/>
    <w:rsid w:val="00220E5D"/>
    <w:rPr>
      <w:vertAlign w:val="superscript"/>
    </w:rPr>
  </w:style>
  <w:style w:type="paragraph" w:styleId="BodyText3">
    <w:name w:val="Body Text 3"/>
    <w:basedOn w:val="Normal"/>
    <w:link w:val="BodyText3Char"/>
    <w:rsid w:val="006A6DA8"/>
    <w:pPr>
      <w:spacing w:after="120"/>
    </w:pPr>
    <w:rPr>
      <w:b w:val="0"/>
      <w:bCs w:val="0"/>
      <w:sz w:val="16"/>
      <w:szCs w:val="16"/>
    </w:rPr>
  </w:style>
  <w:style w:type="character" w:customStyle="1" w:styleId="BodyText3Char">
    <w:name w:val="Body Text 3 Char"/>
    <w:basedOn w:val="DefaultParagraphFont"/>
    <w:link w:val="BodyText3"/>
    <w:rsid w:val="006A6DA8"/>
    <w:rPr>
      <w:rFonts w:cs="David"/>
      <w:sz w:val="16"/>
      <w:szCs w:val="16"/>
      <w:lang w:eastAsia="he-IL"/>
    </w:rPr>
  </w:style>
  <w:style w:type="paragraph" w:styleId="BlockText">
    <w:name w:val="Block Text"/>
    <w:basedOn w:val="Normal"/>
    <w:rsid w:val="00DE2DE5"/>
    <w:pPr>
      <w:spacing w:line="360" w:lineRule="auto"/>
      <w:ind w:left="40" w:right="142"/>
      <w:jc w:val="both"/>
    </w:pPr>
    <w:rPr>
      <w:b w:val="0"/>
      <w:bCs w:val="0"/>
      <w:sz w:val="26"/>
      <w:lang w:eastAsia="en-US"/>
    </w:rPr>
  </w:style>
  <w:style w:type="character" w:customStyle="1" w:styleId="LatinChar">
    <w:name w:val="Latin_Char"/>
    <w:rsid w:val="00FE7BA1"/>
    <w:rPr>
      <w:rFonts w:ascii="Times New Roman" w:hAnsi="Times New Roman"/>
      <w:noProof w:val="0"/>
      <w:lang w:val="en-US"/>
    </w:rPr>
  </w:style>
  <w:style w:type="paragraph" w:customStyle="1" w:styleId="text">
    <w:name w:val="text"/>
    <w:basedOn w:val="Normal"/>
    <w:rsid w:val="00FE7BA1"/>
    <w:pPr>
      <w:widowControl w:val="0"/>
      <w:bidi w:val="0"/>
      <w:spacing w:line="200" w:lineRule="atLeast"/>
      <w:jc w:val="both"/>
    </w:pPr>
    <w:rPr>
      <w:rFonts w:ascii="SwitzerlandLight" w:hAnsi="SwitzerlandLight" w:cs="Miriam"/>
      <w:b w:val="0"/>
      <w:bCs w:val="0"/>
      <w:sz w:val="16"/>
      <w:szCs w:val="24"/>
    </w:rPr>
  </w:style>
  <w:style w:type="character" w:customStyle="1" w:styleId="HeaderChar">
    <w:name w:val="Header Char"/>
    <w:basedOn w:val="DefaultParagraphFont"/>
    <w:link w:val="Header"/>
    <w:rsid w:val="002F3391"/>
    <w:rPr>
      <w:rFonts w:cs="David"/>
      <w:b/>
      <w:bCs/>
      <w:sz w:val="24"/>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4088">
      <w:bodyDiv w:val="1"/>
      <w:marLeft w:val="0"/>
      <w:marRight w:val="0"/>
      <w:marTop w:val="0"/>
      <w:marBottom w:val="0"/>
      <w:divBdr>
        <w:top w:val="none" w:sz="0" w:space="0" w:color="auto"/>
        <w:left w:val="none" w:sz="0" w:space="0" w:color="auto"/>
        <w:bottom w:val="none" w:sz="0" w:space="0" w:color="auto"/>
        <w:right w:val="none" w:sz="0" w:space="0" w:color="auto"/>
      </w:divBdr>
    </w:div>
    <w:div w:id="44255215">
      <w:bodyDiv w:val="1"/>
      <w:marLeft w:val="0"/>
      <w:marRight w:val="0"/>
      <w:marTop w:val="0"/>
      <w:marBottom w:val="0"/>
      <w:divBdr>
        <w:top w:val="none" w:sz="0" w:space="0" w:color="auto"/>
        <w:left w:val="none" w:sz="0" w:space="0" w:color="auto"/>
        <w:bottom w:val="none" w:sz="0" w:space="0" w:color="auto"/>
        <w:right w:val="none" w:sz="0" w:space="0" w:color="auto"/>
      </w:divBdr>
    </w:div>
    <w:div w:id="629439904">
      <w:bodyDiv w:val="1"/>
      <w:marLeft w:val="0"/>
      <w:marRight w:val="0"/>
      <w:marTop w:val="0"/>
      <w:marBottom w:val="0"/>
      <w:divBdr>
        <w:top w:val="none" w:sz="0" w:space="0" w:color="auto"/>
        <w:left w:val="none" w:sz="0" w:space="0" w:color="auto"/>
        <w:bottom w:val="none" w:sz="0" w:space="0" w:color="auto"/>
        <w:right w:val="none" w:sz="0" w:space="0" w:color="auto"/>
      </w:divBdr>
    </w:div>
    <w:div w:id="695156189">
      <w:bodyDiv w:val="1"/>
      <w:marLeft w:val="0"/>
      <w:marRight w:val="0"/>
      <w:marTop w:val="0"/>
      <w:marBottom w:val="0"/>
      <w:divBdr>
        <w:top w:val="none" w:sz="0" w:space="0" w:color="auto"/>
        <w:left w:val="none" w:sz="0" w:space="0" w:color="auto"/>
        <w:bottom w:val="none" w:sz="0" w:space="0" w:color="auto"/>
        <w:right w:val="none" w:sz="0" w:space="0" w:color="auto"/>
      </w:divBdr>
    </w:div>
    <w:div w:id="937367138">
      <w:bodyDiv w:val="1"/>
      <w:marLeft w:val="0"/>
      <w:marRight w:val="0"/>
      <w:marTop w:val="0"/>
      <w:marBottom w:val="0"/>
      <w:divBdr>
        <w:top w:val="none" w:sz="0" w:space="0" w:color="auto"/>
        <w:left w:val="none" w:sz="0" w:space="0" w:color="auto"/>
        <w:bottom w:val="none" w:sz="0" w:space="0" w:color="auto"/>
        <w:right w:val="none" w:sz="0" w:space="0" w:color="auto"/>
      </w:divBdr>
    </w:div>
    <w:div w:id="1129668032">
      <w:bodyDiv w:val="1"/>
      <w:marLeft w:val="0"/>
      <w:marRight w:val="0"/>
      <w:marTop w:val="0"/>
      <w:marBottom w:val="0"/>
      <w:divBdr>
        <w:top w:val="none" w:sz="0" w:space="0" w:color="auto"/>
        <w:left w:val="none" w:sz="0" w:space="0" w:color="auto"/>
        <w:bottom w:val="none" w:sz="0" w:space="0" w:color="auto"/>
        <w:right w:val="none" w:sz="0" w:space="0" w:color="auto"/>
      </w:divBdr>
    </w:div>
    <w:div w:id="12117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www.cbs.gov.il" TargetMode="External"/><Relationship Id="rId2" Type="http://schemas.openxmlformats.org/officeDocument/2006/relationships/hyperlink" Target="mailto:info@cbs.gov.il" TargetMode="External"/><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tals\Local%20Settings\Temporary%20Internet%20Files\OLKAC\new_logo_h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bsDataSource xmlns="f37fff55-d014-472b-b062-823f736a4040" xsi:nil="true"/>
    <CbsDocArticleVariationRelUrlEng xmlns="f37fff55-d014-472b-b062-823f736a4040">/en/mediarelease/Pages/2021/Christmas-2021-Christians-in-Israel.aspx</CbsDocArticleVariationRelUrlEng>
    <CbsDocArticleVariationRelUrl xmlns="f37fff55-d014-472b-b062-823f736a4040">/he/mediarelease/Pages/2021/האוכלוסייה-הנוצרית-בישראל-נתונים-לרגל-חג-המולד-2021.aspx</CbsDocArticleVariationRelUrl>
    <PublishingRollupImage xmlns="http://schemas.microsoft.com/sharepoint/v3" xsi:nil="true"/>
    <CbsOrderField xmlns="f37fff55-d014-472b-b062-823f736a4040">0</CbsOrderField>
    <CbsPublishingDocChapter xmlns="f37fff55-d014-472b-b062-823f736a4040" xsi:nil="true"/>
    <CbsHide xmlns="f37fff55-d014-472b-b062-823f736a4040" xsi:nil="true"/>
    <CbsEnglishTitle xmlns="f37fff55-d014-472b-b062-823f736a4040">Christmas 2021 - Christians in Israel</CbsEnglishTitle>
    <CbsPublishingDocSubjectEng xmlns="f37fff55-d014-472b-b062-823f736a4040" xsi:nil="true"/>
    <CbsPublishingDocChapterEng xmlns="f37fff55-d014-472b-b062-823f736a4040" xsi:nil="true"/>
    <CbsDataPublishDate xmlns="f37fff55-d014-472b-b062-823f736a4040">2021-12-21T11:00:00+00:00</CbsDataPublishDate>
    <CbsPublishingDocSubject xmlns="f37fff55-d014-472b-b062-823f736a4040" xsi:nil="true"/>
    <eWaveListOrderValue xmlns="http://schemas.microsoft.com/sharepoint/v3" xsi:nil="true"/>
    <badce114fb994f27a777030e336d1efa xmlns="f37fff55-d014-472b-b062-823f736a4040">
      <Terms xmlns="http://schemas.microsoft.com/office/infopath/2007/PartnerControls">
        <TermInfo xmlns="http://schemas.microsoft.com/office/infopath/2007/PartnerControls">
          <TermName xmlns="http://schemas.microsoft.com/office/infopath/2007/PartnerControls">אוכלוסייה</TermName>
          <TermId xmlns="http://schemas.microsoft.com/office/infopath/2007/PartnerControls">c1b801ff-274e-491c-b2de-20ef44975e0a</TermId>
        </TermInfo>
        <TermInfo xmlns="http://schemas.microsoft.com/office/infopath/2007/PartnerControls">
          <TermName xmlns="http://schemas.microsoft.com/office/infopath/2007/PartnerControls"> תכונות דמוגרפיות</TermName>
          <TermId xmlns="http://schemas.microsoft.com/office/infopath/2007/PartnerControls">d50058ed-ab7a-43f1-8fec-7190e163e021</TermId>
        </TermInfo>
        <TermInfo xmlns="http://schemas.microsoft.com/office/infopath/2007/PartnerControls">
          <TermName xmlns="http://schemas.microsoft.com/office/infopath/2007/PartnerControls"> אוכלוסייה לפי דת וקבוצת אוכלוסייה</TermName>
          <TermId xmlns="http://schemas.microsoft.com/office/infopath/2007/PartnerControls">5461a9b0-0e9b-4d8d-a39f-719638a22203</TermId>
        </TermInfo>
        <TermInfo xmlns="http://schemas.microsoft.com/office/infopath/2007/PartnerControls">
          <TermName xmlns="http://schemas.microsoft.com/office/infopath/2007/PartnerControls"> האוכלוסייה הערבית</TermName>
          <TermId xmlns="http://schemas.microsoft.com/office/infopath/2007/PartnerControls">bbe6a5db-8117-424c-aa26-5ad43e2070f5</TermId>
        </TermInfo>
      </Terms>
    </badce114fb994f27a777030e336d1efa>
    <CbsMadadPublishDate xmlns="f37fff55-d014-472b-b062-823f736a4040" xsi:nil="true"/>
    <ArticleStartDate xmlns="http://schemas.microsoft.com/sharepoint/v3" xsi:nil="true"/>
    <CbsPublishingDocChapterAr xmlns="f37fff55-d014-472b-b062-823f736a40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פרסום למס" ma:contentTypeID="0x01010018C65C5FFA1A411CB733A36D5E05D176005EC8771B28134F43A3AE7296363CCDAA0012EE8DAAB84E594CBB34D7852AC42FC4" ma:contentTypeVersion="70" ma:contentTypeDescription="צור מסמך חדש." ma:contentTypeScope="" ma:versionID="cb6c7fa6d610bc6cb7a456680cf8fd62">
  <xsd:schema xmlns:xsd="http://www.w3.org/2001/XMLSchema" xmlns:xs="http://www.w3.org/2001/XMLSchema" xmlns:p="http://schemas.microsoft.com/office/2006/metadata/properties" xmlns:ns1="http://schemas.microsoft.com/sharepoint/v3" xmlns:ns2="f37fff55-d014-472b-b062-823f736a4040" targetNamespace="http://schemas.microsoft.com/office/2006/metadata/properties" ma:root="true" ma:fieldsID="a30b15dec48d1fda5e9a372994946a33" ns1:_="" ns2:_="">
    <xsd:import namespace="http://schemas.microsoft.com/sharepoint/v3"/>
    <xsd:import namespace="f37fff55-d014-472b-b062-823f736a4040"/>
    <xsd:element name="properties">
      <xsd:complexType>
        <xsd:sequence>
          <xsd:element name="documentManagement">
            <xsd:complexType>
              <xsd:all>
                <xsd:element ref="ns2:CbsDataPublishDate" minOccurs="0"/>
                <xsd:element ref="ns2:CbsPublishingDocSubject" minOccurs="0"/>
                <xsd:element ref="ns2:CbsPublishingDocChapter" minOccurs="0"/>
                <xsd:element ref="ns2:CbsDocArticleVariationRelUrl" minOccurs="0"/>
                <xsd:element ref="ns2:CbsPublishingDocSubjectEng" minOccurs="0"/>
                <xsd:element ref="ns2:CbsPublishingDocChapterEng" minOccurs="0"/>
                <xsd:element ref="ns2:CbsOrderField" minOccurs="0"/>
                <xsd:element ref="ns2:CbsHide" minOccurs="0"/>
                <xsd:element ref="ns2:badce114fb994f27a777030e336d1efa" minOccurs="0"/>
                <xsd:element ref="ns1:PublishingRollupImage" minOccurs="0"/>
                <xsd:element ref="ns1:eWaveListOrderValue" minOccurs="0"/>
                <xsd:element ref="ns2:CbsEnglishTitle" minOccurs="0"/>
                <xsd:element ref="ns2:CbsDocArticleVariationRelUrlEng" minOccurs="0"/>
                <xsd:element ref="ns2:CbsDataSource" minOccurs="0"/>
                <xsd:element ref="ns2:CbsMadadPublishDate" minOccurs="0"/>
                <xsd:element ref="ns1:ArticleStartDate" minOccurs="0"/>
                <xsd:element ref="ns2:CbsPublishingDocChapter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6" nillable="true" ma:displayName="תמונת סיכום" ma:description="'תמונת סיכום' הוא עמודת אתר שיוצרת תכונת הפרסום. היא משמשת בסוג תוכן הדף כתמונה של הדף באוספי תוכן כגון ה- Web Part של תוכן לפי חיפוש." ma:internalName="PublishingRollupImage">
      <xsd:simpleType>
        <xsd:restriction base="dms:Unknown"/>
      </xsd:simpleType>
    </xsd:element>
    <xsd:element name="eWaveListOrderValue" ma:index="27" nillable="true" ma:displayName="סידור" ma:decimals="2" ma:internalName="eWaveListOrderValue" ma:readOnly="false">
      <xsd:simpleType>
        <xsd:restriction base="dms:Number"/>
      </xsd:simpleType>
    </xsd:element>
    <xsd:element name="ArticleStartDate" ma:index="35" nillable="true" ma:displayName="תאריך מאמר" ma:description="'תאריך המאמר' הוא עמודת אתר שיוצרת תכונת הפרסום. היא משמשת בסוג תוכן דף המאמר כתאריך של הדף."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37fff55-d014-472b-b062-823f736a4040" elementFormDefault="qualified">
    <xsd:import namespace="http://schemas.microsoft.com/office/2006/documentManagement/types"/>
    <xsd:import namespace="http://schemas.microsoft.com/office/infopath/2007/PartnerControls"/>
    <xsd:element name="CbsDataPublishDate" ma:index="8" nillable="true" ma:displayName="תאריך פרסום הנתונים" ma:internalName="CbsDataPublishDate" ma:readOnly="false">
      <xsd:simpleType>
        <xsd:restriction base="dms:DateTime"/>
      </xsd:simpleType>
    </xsd:element>
    <xsd:element name="CbsPublishingDocSubject" ma:index="10" nillable="true" ma:displayName="שם נושא עברית" ma:internalName="CbsPublishingDocSubject" ma:readOnly="false">
      <xsd:simpleType>
        <xsd:restriction base="dms:Text"/>
      </xsd:simpleType>
    </xsd:element>
    <xsd:element name="CbsPublishingDocChapter" ma:index="11" nillable="true" ma:displayName="שם פרק עברית" ma:internalName="CbsPublishingDocChapter" ma:readOnly="false">
      <xsd:simpleType>
        <xsd:restriction base="dms:Text"/>
      </xsd:simpleType>
    </xsd:element>
    <xsd:element name="CbsDocArticleVariationRelUrl" ma:index="12" nillable="true" ma:displayName="קישור מאמר עברית" ma:internalName="CbsDocArticleVariationRelUrl" ma:readOnly="false">
      <xsd:simpleType>
        <xsd:restriction base="dms:Text"/>
      </xsd:simpleType>
    </xsd:element>
    <xsd:element name="CbsPublishingDocSubjectEng" ma:index="13" nillable="true" ma:displayName="שם נושא אנגלית" ma:internalName="CbsPublishingDocSubjectEng" ma:readOnly="false">
      <xsd:simpleType>
        <xsd:restriction base="dms:Text"/>
      </xsd:simpleType>
    </xsd:element>
    <xsd:element name="CbsPublishingDocChapterEng" ma:index="14" nillable="true" ma:displayName="שם פרק אנגלית" ma:internalName="CbsPublishingDocChapterEng" ma:readOnly="false">
      <xsd:simpleType>
        <xsd:restriction base="dms:Text"/>
      </xsd:simpleType>
    </xsd:element>
    <xsd:element name="CbsOrderField" ma:index="15" nillable="true" ma:displayName="סדר" ma:internalName="CbsOrderField" ma:readOnly="false">
      <xsd:simpleType>
        <xsd:restriction base="dms:Number"/>
      </xsd:simpleType>
    </xsd:element>
    <xsd:element name="CbsHide" ma:index="16" nillable="true" ma:displayName="הסתר" ma:internalName="CbsHide" ma:readOnly="false">
      <xsd:simpleType>
        <xsd:restriction base="dms:Boolean"/>
      </xsd:simpleType>
    </xsd:element>
    <xsd:element name="badce114fb994f27a777030e336d1efa" ma:index="17" nillable="true" ma:taxonomy="true" ma:internalName="badce114fb994f27a777030e336d1efa" ma:taxonomyFieldName="CbsMMDSubjects" ma:displayName="נושאים" ma:readOnly="false" ma:fieldId="badce114-fb99-4f27-a777-030e336d1efa" ma:taxonomyMulti="true" ma:sspId="3561f26f-b765-481f-a768-7c7417e4a021" ma:termSetId="d7f67748-0ad2-4e38-bb9f-75af97b01185" ma:anchorId="00000000-0000-0000-0000-000000000000" ma:open="true" ma:isKeyword="false">
      <xsd:complexType>
        <xsd:sequence>
          <xsd:element ref="pc:Terms" minOccurs="0" maxOccurs="1"/>
        </xsd:sequence>
      </xsd:complexType>
    </xsd:element>
    <xsd:element name="CbsEnglishTitle" ma:index="28" nillable="true" ma:displayName="כותרת אנגלית" ma:internalName="CbsEnglishTitle" ma:readOnly="false">
      <xsd:simpleType>
        <xsd:restriction base="dms:Text"/>
      </xsd:simpleType>
    </xsd:element>
    <xsd:element name="CbsDocArticleVariationRelUrlEng" ma:index="29" nillable="true" ma:displayName="קישור למאמר אנגלית" ma:internalName="CbsDocArticleVariationRelUrlEng" ma:readOnly="false">
      <xsd:simpleType>
        <xsd:restriction base="dms:Text"/>
      </xsd:simpleType>
    </xsd:element>
    <xsd:element name="CbsDataSource" ma:index="31" nillable="true" ma:displayName="תיקיה לדרופ דאון" ma:internalName="CbsDataSource" ma:readOnly="false">
      <xsd:simpleType>
        <xsd:restriction base="dms:Text"/>
      </xsd:simpleType>
    </xsd:element>
    <xsd:element name="CbsMadadPublishDate" ma:index="34" nillable="true" ma:displayName="תאריך הצגה" ma:internalName="CbsMadadPublishDate" ma:readOnly="false">
      <xsd:simpleType>
        <xsd:restriction base="dms:DateTime"/>
      </xsd:simpleType>
    </xsd:element>
    <xsd:element name="CbsPublishingDocChapterAr" ma:index="36" nillable="true" ma:displayName="כותרת בערבית" ma:internalName="CbsPublishingDocChapter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E1468-EAB8-43A6-9326-106FAD455E00}"/>
</file>

<file path=customXml/itemProps2.xml><?xml version="1.0" encoding="utf-8"?>
<ds:datastoreItem xmlns:ds="http://schemas.openxmlformats.org/officeDocument/2006/customXml" ds:itemID="{337A83D6-A4A4-4B49-8384-1E4CB79D7FA4}"/>
</file>

<file path=customXml/itemProps3.xml><?xml version="1.0" encoding="utf-8"?>
<ds:datastoreItem xmlns:ds="http://schemas.openxmlformats.org/officeDocument/2006/customXml" ds:itemID="{B295EEBA-CFEA-447D-A645-3C668429FDA5}"/>
</file>

<file path=customXml/itemProps4.xml><?xml version="1.0" encoding="utf-8"?>
<ds:datastoreItem xmlns:ds="http://schemas.openxmlformats.org/officeDocument/2006/customXml" ds:itemID="{D954F6EA-F70B-4DD1-AA05-C08316C2BE75}"/>
</file>

<file path=docProps/app.xml><?xml version="1.0" encoding="utf-8"?>
<Properties xmlns="http://schemas.openxmlformats.org/officeDocument/2006/extended-properties" xmlns:vt="http://schemas.openxmlformats.org/officeDocument/2006/docPropsVTypes">
  <Template>new_logo_heb.dot</Template>
  <TotalTime>0</TotalTime>
  <Pages>49</Pages>
  <Words>5812</Words>
  <Characters>30108</Characters>
  <Application>Microsoft Office Word</Application>
  <DocSecurity>4</DocSecurity>
  <Lines>940</Lines>
  <Paragraphs>677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Christmas 2021 - Christians in Israel</vt:lpstr>
      <vt:lpstr>Christmas 2021 - Christians in Israel</vt:lpstr>
    </vt:vector>
  </TitlesOfParts>
  <Company>cbs</Company>
  <LinksUpToDate>false</LinksUpToDate>
  <CharactersWithSpaces>35243</CharactersWithSpaces>
  <SharedDoc>false</SharedDoc>
  <HLinks>
    <vt:vector size="12" baseType="variant">
      <vt:variant>
        <vt:i4>721018</vt:i4>
      </vt:variant>
      <vt:variant>
        <vt:i4>3</vt:i4>
      </vt:variant>
      <vt:variant>
        <vt:i4>0</vt:i4>
      </vt:variant>
      <vt:variant>
        <vt:i4>5</vt:i4>
      </vt:variant>
      <vt:variant>
        <vt:lpwstr>http://www.cbs.gov.il/hodaot2015n/11_15_346netunei_tarshim2.xls</vt:lpwstr>
      </vt:variant>
      <vt:variant>
        <vt:lpwstr/>
      </vt:variant>
      <vt:variant>
        <vt:i4>721017</vt:i4>
      </vt:variant>
      <vt:variant>
        <vt:i4>0</vt:i4>
      </vt:variant>
      <vt:variant>
        <vt:i4>0</vt:i4>
      </vt:variant>
      <vt:variant>
        <vt:i4>5</vt:i4>
      </vt:variant>
      <vt:variant>
        <vt:lpwstr>http://www.cbs.gov.il/hodaot2015n/11_15_346netunei_tarshim1.xls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litals</dc:creator>
  <cp:lastModifiedBy>avishai cohen</cp:lastModifiedBy>
  <cp:revision>2</cp:revision>
  <cp:lastPrinted>2022-04-04T11:05:00Z</cp:lastPrinted>
  <dcterms:created xsi:type="dcterms:W3CDTF">2022-04-06T10:57:00Z</dcterms:created>
  <dcterms:modified xsi:type="dcterms:W3CDTF">2022-04-06T10:57:00Z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0x01010018C65C5FFA1A411CB733A36D5E05D176005EC8771B28134F43A3AE7296363CCDAA0012EE8DAAB84E594CBB34D7852AC42FC4</vt:lpwstr>
  </property>
  <property fmtid="{D5CDD505-2E9C-101B-9397-08002B2CF9AE}" pid="3" name="CbsMMDLanguages">
    <vt:lpwstr>23;#אנגלית|bcd2f785-9433-481a-8dea-af8b5faa5f5c</vt:lpwstr>
  </property>
  <property fmtid="{D5CDD505-2E9C-101B-9397-08002B2CF9AE}" pid="4" name="CbsMMDSubjects">
    <vt:lpwstr>29;#אוכלוסייה|c1b801ff-274e-491c-b2de-20ef44975e0a;#55;# תכונות דמוגרפיות|d50058ed-ab7a-43f1-8fec-7190e163e021;#399;# אוכלוסייה לפי דת וקבוצת אוכלוסייה|5461a9b0-0e9b-4d8d-a39f-719638a22203;#198;# האוכלוסייה הערבית|bbe6a5db-8117-424c-aa26-5ad43e2070f5</vt:lpwstr>
  </property>
  <property fmtid="{D5CDD505-2E9C-101B-9397-08002B2CF9AE}" pid="5" name="l2e12a95055c425a9be399caf84ebe5f">
    <vt:lpwstr>אנגלית|bcd2f785-9433-481a-8dea-af8b5faa5f5c</vt:lpwstr>
  </property>
  <property fmtid="{D5CDD505-2E9C-101B-9397-08002B2CF9AE}" pid="6" name="TaxCatchAll">
    <vt:lpwstr>132;#שנתי|3aa65854-6eee-4c18-bea6-a232fd3cf6c6;#29;#אוכלוסייה|c1b801ff-274e-491c-b2de-20ef44975e0a;#198;# האוכלוסייה הערבית|bbe6a5db-8117-424c-aa26-5ad43e2070f5;#26;#מאמר|2980ee55-44c4-4555-b313-39b30e741399;#399;# אוכלוסייה לפי דת וקבוצת אוכלוסייה|5461a9b0-0e9b-4d8d-a39f-719638a22203;#23;#אנגלית|bcd2f785-9433-481a-8dea-af8b5faa5f5c;#55;# תכונות דמוגרפיות|d50058ed-ab7a-43f1-8fec-7190e163e021</vt:lpwstr>
  </property>
  <property fmtid="{D5CDD505-2E9C-101B-9397-08002B2CF9AE}" pid="7" name="jb05328652cd4d188b8237060e08f6a6">
    <vt:lpwstr>מאמר|2980ee55-44c4-4555-b313-39b30e741399</vt:lpwstr>
  </property>
  <property fmtid="{D5CDD505-2E9C-101B-9397-08002B2CF9AE}" pid="8" name="CbsMMDItemType">
    <vt:lpwstr>26;#מאמר|2980ee55-44c4-4555-b313-39b30e741399</vt:lpwstr>
  </property>
  <property fmtid="{D5CDD505-2E9C-101B-9397-08002B2CF9AE}" pid="9" name="nfa41555e3464cf4bb914e89b71e6bff">
    <vt:lpwstr/>
  </property>
  <property fmtid="{D5CDD505-2E9C-101B-9397-08002B2CF9AE}" pid="10" name="CbsMMDInterval">
    <vt:lpwstr>132;#שנתי|3aa65854-6eee-4c18-bea6-a232fd3cf6c6</vt:lpwstr>
  </property>
  <property fmtid="{D5CDD505-2E9C-101B-9397-08002B2CF9AE}" pid="11" name="CbsMMDGlobalSubjects">
    <vt:lpwstr/>
  </property>
  <property fmtid="{D5CDD505-2E9C-101B-9397-08002B2CF9AE}" pid="12" name="o2494bd4375f452fad1b646d6a811f44">
    <vt:lpwstr>שנתי|3aa65854-6eee-4c18-bea6-a232fd3cf6c6</vt:lpwstr>
  </property>
  <property fmtid="{D5CDD505-2E9C-101B-9397-08002B2CF9AE}" pid="13" name="GUID">
    <vt:lpwstr>1a69977b-1bad-4815-8474-ec89ede9e589</vt:lpwstr>
  </property>
  <property fmtid="{D5CDD505-2E9C-101B-9397-08002B2CF9AE}" pid="14" name="CbsMMDForPublicationCSB">
    <vt:lpwstr/>
  </property>
  <property fmtid="{D5CDD505-2E9C-101B-9397-08002B2CF9AE}" pid="15" name="Order">
    <vt:r8>11315200</vt:r8>
  </property>
  <property fmtid="{D5CDD505-2E9C-101B-9397-08002B2CF9AE}" pid="16" name="CbsMMDSurveys">
    <vt:lpwstr/>
  </property>
  <property fmtid="{D5CDD505-2E9C-101B-9397-08002B2CF9AE}" pid="17" name="CbsMMDPublisher">
    <vt:lpwstr/>
  </property>
  <property fmtid="{D5CDD505-2E9C-101B-9397-08002B2CF9AE}" pid="18" name="CbsMMDGatheringMethod">
    <vt:lpwstr/>
  </property>
  <property fmtid="{D5CDD505-2E9C-101B-9397-08002B2CF9AE}" pid="19" name="CbsMMDGeoDistribution">
    <vt:lpwstr/>
  </property>
  <property fmtid="{D5CDD505-2E9C-101B-9397-08002B2CF9AE}" pid="20" name="CbsMMDSettlements">
    <vt:lpwstr/>
  </property>
  <property fmtid="{D5CDD505-2E9C-101B-9397-08002B2CF9AE}" pid="21" name="CbsMMDLicense">
    <vt:lpwstr/>
  </property>
  <property fmtid="{D5CDD505-2E9C-101B-9397-08002B2CF9AE}" pid="22" name="k996ec15d8b84c25ab4ba497b8126068">
    <vt:lpwstr/>
  </property>
  <property fmtid="{D5CDD505-2E9C-101B-9397-08002B2CF9AE}" pid="23" name="le6ae3b316d345348c5a7081083b5f17">
    <vt:lpwstr/>
  </property>
  <property fmtid="{D5CDD505-2E9C-101B-9397-08002B2CF9AE}" pid="24" name="d8f60aace6e84187b9d8167da15a966c">
    <vt:lpwstr/>
  </property>
  <property fmtid="{D5CDD505-2E9C-101B-9397-08002B2CF9AE}" pid="25" name="e963c9d311ab4da3b6cbc837a17bbe40">
    <vt:lpwstr/>
  </property>
  <property fmtid="{D5CDD505-2E9C-101B-9397-08002B2CF9AE}" pid="26" name="fa130405dbd9451c89aaf40a75fe388c">
    <vt:lpwstr/>
  </property>
  <property fmtid="{D5CDD505-2E9C-101B-9397-08002B2CF9AE}" pid="27" name="be7e4c0a87744fda8f9ec475d0d5383d">
    <vt:lpwstr/>
  </property>
  <property fmtid="{D5CDD505-2E9C-101B-9397-08002B2CF9AE}" pid="28" name="d26306ee4df449b8a93fe89c272330c7">
    <vt:lpwstr/>
  </property>
</Properties>
</file>