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val="en-GB" w:bidi="he-IL"/>
        </w:rPr>
        <w:id w:val="-1200617043"/>
        <w:docPartObj>
          <w:docPartGallery w:val="Table of Contents"/>
          <w:docPartUnique/>
        </w:docPartObj>
      </w:sdtPr>
      <w:sdtEndPr>
        <w:rPr>
          <w:rFonts w:cs="Times New Roman"/>
          <w:i/>
          <w:iCs/>
          <w:noProof/>
          <w:sz w:val="24"/>
          <w:szCs w:val="24"/>
        </w:rPr>
      </w:sdtEndPr>
      <w:sdtContent>
        <w:p w14:paraId="215EDBC9" w14:textId="6B3E8237" w:rsidR="00DC3D01" w:rsidRPr="00DF7376" w:rsidRDefault="00DC3D01" w:rsidP="007D064C">
          <w:pPr>
            <w:pStyle w:val="af"/>
            <w:spacing w:before="120" w:after="120"/>
            <w:jc w:val="center"/>
            <w:rPr>
              <w:rFonts w:asciiTheme="minorBidi" w:hAnsiTheme="minorBidi"/>
            </w:rPr>
          </w:pPr>
          <w:r w:rsidRPr="007D064C">
            <w:rPr>
              <w:rFonts w:asciiTheme="minorBidi" w:hAnsiTheme="minorBidi"/>
              <w:b/>
              <w:sz w:val="24"/>
            </w:rPr>
            <w:t>C</w:t>
          </w:r>
          <w:r w:rsidR="006B31D4" w:rsidRPr="007D064C">
            <w:rPr>
              <w:rFonts w:asciiTheme="minorBidi" w:hAnsiTheme="minorBidi"/>
              <w:b/>
              <w:sz w:val="24"/>
            </w:rPr>
            <w:t>ONTENTS</w:t>
          </w:r>
        </w:p>
        <w:p w14:paraId="0D33C5BC" w14:textId="4C14180C" w:rsidR="00CB7E63" w:rsidRPr="00B71047" w:rsidRDefault="002F17FB">
          <w:pPr>
            <w:pStyle w:val="TOC1"/>
            <w:tabs>
              <w:tab w:val="left" w:pos="440"/>
              <w:tab w:val="right" w:leader="underscore" w:pos="9060"/>
            </w:tabs>
            <w:rPr>
              <w:rFonts w:ascii="Arial" w:eastAsiaTheme="minorEastAsia" w:hAnsi="Arial" w:cs="Arial"/>
              <w:b w:val="0"/>
              <w:bCs w:val="0"/>
              <w:i w:val="0"/>
              <w:iCs w:val="0"/>
              <w:noProof/>
              <w:lang w:val="en-US"/>
            </w:rPr>
          </w:pPr>
          <w:r w:rsidRPr="00B71047">
            <w:rPr>
              <w:rFonts w:asciiTheme="minorBidi" w:hAnsiTheme="minorBidi"/>
              <w:b w:val="0"/>
              <w:i w:val="0"/>
            </w:rPr>
            <w:fldChar w:fldCharType="begin"/>
          </w:r>
          <w:r w:rsidRPr="00B71047">
            <w:rPr>
              <w:rFonts w:asciiTheme="minorBidi" w:hAnsiTheme="minorBidi"/>
              <w:b w:val="0"/>
              <w:bCs w:val="0"/>
              <w:i w:val="0"/>
              <w:iCs w:val="0"/>
            </w:rPr>
            <w:instrText xml:space="preserve"> TOC \o "1-3" \h \z \u </w:instrText>
          </w:r>
          <w:r w:rsidRPr="00B71047">
            <w:rPr>
              <w:rFonts w:asciiTheme="minorBidi" w:hAnsiTheme="minorBidi"/>
              <w:b w:val="0"/>
              <w:i w:val="0"/>
            </w:rPr>
            <w:fldChar w:fldCharType="separate"/>
          </w:r>
          <w:hyperlink w:anchor="_Toc149219659" w:history="1">
            <w:r w:rsidR="00CB7E63" w:rsidRPr="00B71047">
              <w:rPr>
                <w:rStyle w:val="Hyperlink"/>
                <w:rFonts w:ascii="Arial" w:hAnsi="Arial" w:cs="Arial"/>
                <w:i w:val="0"/>
                <w:iCs w:val="0"/>
                <w:noProof/>
                <w:u w:val="none"/>
              </w:rPr>
              <w:t>A.</w:t>
            </w:r>
            <w:r w:rsidR="00CB7E63" w:rsidRPr="00B71047">
              <w:rPr>
                <w:rFonts w:ascii="Arial" w:eastAsiaTheme="minorEastAsia" w:hAnsi="Arial" w:cs="Arial"/>
                <w:b w:val="0"/>
                <w:bCs w:val="0"/>
                <w:i w:val="0"/>
                <w:iCs w:val="0"/>
                <w:noProof/>
                <w:lang w:val="en-US"/>
              </w:rPr>
              <w:tab/>
            </w:r>
            <w:r w:rsidR="00CB7E63" w:rsidRPr="00B71047">
              <w:rPr>
                <w:rStyle w:val="Hyperlink"/>
                <w:rFonts w:ascii="Arial" w:hAnsi="Arial" w:cs="Arial"/>
                <w:i w:val="0"/>
                <w:iCs w:val="0"/>
                <w:noProof/>
                <w:u w:val="none"/>
              </w:rPr>
              <w:t>General</w:t>
            </w:r>
            <w:r w:rsidR="00CB7E63" w:rsidRPr="00B71047">
              <w:rPr>
                <w:rFonts w:ascii="Arial" w:hAnsi="Arial" w:cs="Arial"/>
                <w:i w:val="0"/>
                <w:iCs w:val="0"/>
                <w:noProof/>
                <w:webHidden/>
              </w:rPr>
              <w:tab/>
            </w:r>
            <w:r w:rsidR="00CB7E63" w:rsidRPr="00B71047">
              <w:rPr>
                <w:rFonts w:ascii="Arial" w:hAnsi="Arial" w:cs="Arial"/>
                <w:i w:val="0"/>
                <w:iCs w:val="0"/>
                <w:noProof/>
                <w:webHidden/>
              </w:rPr>
              <w:fldChar w:fldCharType="begin"/>
            </w:r>
            <w:r w:rsidR="00CB7E63" w:rsidRPr="00B71047">
              <w:rPr>
                <w:rFonts w:ascii="Arial" w:hAnsi="Arial" w:cs="Arial"/>
                <w:i w:val="0"/>
                <w:iCs w:val="0"/>
                <w:noProof/>
                <w:webHidden/>
              </w:rPr>
              <w:instrText xml:space="preserve"> PAGEREF _Toc149219659 \h </w:instrText>
            </w:r>
            <w:r w:rsidR="00CB7E63" w:rsidRPr="00B71047">
              <w:rPr>
                <w:rFonts w:ascii="Arial" w:hAnsi="Arial" w:cs="Arial"/>
                <w:i w:val="0"/>
                <w:iCs w:val="0"/>
                <w:noProof/>
                <w:webHidden/>
              </w:rPr>
            </w:r>
            <w:r w:rsidR="00CB7E63" w:rsidRPr="00B71047">
              <w:rPr>
                <w:rFonts w:ascii="Arial" w:hAnsi="Arial" w:cs="Arial"/>
                <w:i w:val="0"/>
                <w:iCs w:val="0"/>
                <w:noProof/>
                <w:webHidden/>
              </w:rPr>
              <w:fldChar w:fldCharType="separate"/>
            </w:r>
            <w:r w:rsidR="00CB7E63" w:rsidRPr="00B71047">
              <w:rPr>
                <w:rFonts w:ascii="Arial" w:hAnsi="Arial" w:cs="Arial"/>
                <w:i w:val="0"/>
                <w:iCs w:val="0"/>
                <w:noProof/>
                <w:webHidden/>
              </w:rPr>
              <w:t>2</w:t>
            </w:r>
            <w:r w:rsidR="00CB7E63" w:rsidRPr="00B71047">
              <w:rPr>
                <w:rFonts w:ascii="Arial" w:hAnsi="Arial" w:cs="Arial"/>
                <w:i w:val="0"/>
                <w:iCs w:val="0"/>
                <w:noProof/>
                <w:webHidden/>
              </w:rPr>
              <w:fldChar w:fldCharType="end"/>
            </w:r>
          </w:hyperlink>
        </w:p>
        <w:p w14:paraId="163568AF" w14:textId="7D1CA7E1" w:rsidR="00CB7E63" w:rsidRPr="00B71047" w:rsidRDefault="002140D9">
          <w:pPr>
            <w:pStyle w:val="TOC2"/>
            <w:rPr>
              <w:rFonts w:eastAsiaTheme="minorEastAsia"/>
              <w:lang w:val="en-US"/>
            </w:rPr>
          </w:pPr>
          <w:hyperlink w:anchor="_Toc149219660" w:history="1">
            <w:r w:rsidR="00CB7E63" w:rsidRPr="00B71047">
              <w:rPr>
                <w:rStyle w:val="Hyperlink"/>
                <w:u w:val="none"/>
              </w:rPr>
              <w:t>1.</w:t>
            </w:r>
            <w:r w:rsidR="00CB7E63" w:rsidRPr="00B71047">
              <w:rPr>
                <w:rFonts w:eastAsiaTheme="minorEastAsia"/>
                <w:lang w:val="en-US"/>
              </w:rPr>
              <w:tab/>
            </w:r>
            <w:r w:rsidR="00CB7E63" w:rsidRPr="00B71047">
              <w:rPr>
                <w:rStyle w:val="Hyperlink"/>
                <w:u w:val="none"/>
              </w:rPr>
              <w:t>Definition and Method of Calculation</w:t>
            </w:r>
            <w:r w:rsidR="00CB7E63" w:rsidRPr="00B71047">
              <w:rPr>
                <w:webHidden/>
              </w:rPr>
              <w:tab/>
            </w:r>
            <w:r w:rsidR="00CB7E63" w:rsidRPr="00B71047">
              <w:rPr>
                <w:webHidden/>
              </w:rPr>
              <w:fldChar w:fldCharType="begin"/>
            </w:r>
            <w:r w:rsidR="00CB7E63" w:rsidRPr="00B71047">
              <w:rPr>
                <w:webHidden/>
              </w:rPr>
              <w:instrText xml:space="preserve"> PAGEREF _Toc149219660 \h </w:instrText>
            </w:r>
            <w:r w:rsidR="00CB7E63" w:rsidRPr="00B71047">
              <w:rPr>
                <w:webHidden/>
              </w:rPr>
            </w:r>
            <w:r w:rsidR="00CB7E63" w:rsidRPr="00B71047">
              <w:rPr>
                <w:webHidden/>
              </w:rPr>
              <w:fldChar w:fldCharType="separate"/>
            </w:r>
            <w:r w:rsidR="00CB7E63" w:rsidRPr="00B71047">
              <w:rPr>
                <w:webHidden/>
              </w:rPr>
              <w:t>2</w:t>
            </w:r>
            <w:r w:rsidR="00CB7E63" w:rsidRPr="00B71047">
              <w:rPr>
                <w:webHidden/>
              </w:rPr>
              <w:fldChar w:fldCharType="end"/>
            </w:r>
          </w:hyperlink>
        </w:p>
        <w:p w14:paraId="19FDBB92" w14:textId="3B7670D9" w:rsidR="00CB7E63" w:rsidRPr="00B71047" w:rsidRDefault="002140D9">
          <w:pPr>
            <w:pStyle w:val="TOC2"/>
            <w:rPr>
              <w:rFonts w:eastAsiaTheme="minorEastAsia"/>
              <w:lang w:val="en-US"/>
            </w:rPr>
          </w:pPr>
          <w:hyperlink w:anchor="_Toc149219661" w:history="1">
            <w:r w:rsidR="00CB7E63" w:rsidRPr="00B71047">
              <w:rPr>
                <w:rStyle w:val="Hyperlink"/>
                <w:u w:val="none"/>
              </w:rPr>
              <w:t>2.</w:t>
            </w:r>
            <w:r w:rsidR="00CB7E63" w:rsidRPr="00B71047">
              <w:rPr>
                <w:rFonts w:eastAsiaTheme="minorEastAsia"/>
                <w:lang w:val="en-US"/>
              </w:rPr>
              <w:tab/>
            </w:r>
            <w:r w:rsidR="00CB7E63" w:rsidRPr="00B71047">
              <w:rPr>
                <w:rStyle w:val="Hyperlink"/>
                <w:u w:val="none"/>
              </w:rPr>
              <w:t>Stages of the Research</w:t>
            </w:r>
            <w:r w:rsidR="00CB7E63" w:rsidRPr="00B71047">
              <w:rPr>
                <w:webHidden/>
              </w:rPr>
              <w:tab/>
            </w:r>
            <w:r w:rsidR="00CB7E63" w:rsidRPr="00B71047">
              <w:rPr>
                <w:webHidden/>
              </w:rPr>
              <w:fldChar w:fldCharType="begin"/>
            </w:r>
            <w:r w:rsidR="00CB7E63" w:rsidRPr="00B71047">
              <w:rPr>
                <w:webHidden/>
              </w:rPr>
              <w:instrText xml:space="preserve"> PAGEREF _Toc149219661 \h </w:instrText>
            </w:r>
            <w:r w:rsidR="00CB7E63" w:rsidRPr="00B71047">
              <w:rPr>
                <w:webHidden/>
              </w:rPr>
            </w:r>
            <w:r w:rsidR="00CB7E63" w:rsidRPr="00B71047">
              <w:rPr>
                <w:webHidden/>
              </w:rPr>
              <w:fldChar w:fldCharType="separate"/>
            </w:r>
            <w:r w:rsidR="00CB7E63" w:rsidRPr="00B71047">
              <w:rPr>
                <w:webHidden/>
              </w:rPr>
              <w:t>3</w:t>
            </w:r>
            <w:r w:rsidR="00CB7E63" w:rsidRPr="00B71047">
              <w:rPr>
                <w:webHidden/>
              </w:rPr>
              <w:fldChar w:fldCharType="end"/>
            </w:r>
          </w:hyperlink>
        </w:p>
        <w:p w14:paraId="36119A25" w14:textId="7E6912EF" w:rsidR="00CB7E63" w:rsidRPr="00B71047" w:rsidRDefault="002140D9">
          <w:pPr>
            <w:pStyle w:val="TOC2"/>
            <w:rPr>
              <w:rFonts w:eastAsiaTheme="minorEastAsia"/>
              <w:lang w:val="en-US"/>
            </w:rPr>
          </w:pPr>
          <w:hyperlink w:anchor="_Toc149219662" w:history="1">
            <w:r w:rsidR="00CB7E63" w:rsidRPr="00B71047">
              <w:rPr>
                <w:rStyle w:val="Hyperlink"/>
                <w:u w:val="none"/>
              </w:rPr>
              <w:t>3.</w:t>
            </w:r>
            <w:r w:rsidR="00CB7E63" w:rsidRPr="00B71047">
              <w:rPr>
                <w:rFonts w:eastAsiaTheme="minorEastAsia"/>
                <w:lang w:val="en-US"/>
              </w:rPr>
              <w:tab/>
            </w:r>
            <w:r w:rsidR="00CB7E63" w:rsidRPr="00B71047">
              <w:rPr>
                <w:rStyle w:val="Hyperlink"/>
                <w:u w:val="none"/>
              </w:rPr>
              <w:t>Applications of the Index</w:t>
            </w:r>
            <w:r w:rsidR="00CB7E63" w:rsidRPr="00B71047">
              <w:rPr>
                <w:webHidden/>
              </w:rPr>
              <w:tab/>
            </w:r>
            <w:r w:rsidR="00CB7E63" w:rsidRPr="00B71047">
              <w:rPr>
                <w:webHidden/>
              </w:rPr>
              <w:fldChar w:fldCharType="begin"/>
            </w:r>
            <w:r w:rsidR="00CB7E63" w:rsidRPr="00B71047">
              <w:rPr>
                <w:webHidden/>
              </w:rPr>
              <w:instrText xml:space="preserve"> PAGEREF _Toc149219662 \h </w:instrText>
            </w:r>
            <w:r w:rsidR="00CB7E63" w:rsidRPr="00B71047">
              <w:rPr>
                <w:webHidden/>
              </w:rPr>
            </w:r>
            <w:r w:rsidR="00CB7E63" w:rsidRPr="00B71047">
              <w:rPr>
                <w:webHidden/>
              </w:rPr>
              <w:fldChar w:fldCharType="separate"/>
            </w:r>
            <w:r w:rsidR="00CB7E63" w:rsidRPr="00B71047">
              <w:rPr>
                <w:webHidden/>
              </w:rPr>
              <w:t>4</w:t>
            </w:r>
            <w:r w:rsidR="00CB7E63" w:rsidRPr="00B71047">
              <w:rPr>
                <w:webHidden/>
              </w:rPr>
              <w:fldChar w:fldCharType="end"/>
            </w:r>
          </w:hyperlink>
        </w:p>
        <w:p w14:paraId="5C534991" w14:textId="0B9D5E28" w:rsidR="00CB7E63" w:rsidRPr="00B71047" w:rsidRDefault="002140D9">
          <w:pPr>
            <w:pStyle w:val="TOC2"/>
            <w:rPr>
              <w:rFonts w:eastAsiaTheme="minorEastAsia"/>
              <w:lang w:val="en-US"/>
            </w:rPr>
          </w:pPr>
          <w:hyperlink w:anchor="_Toc149219663" w:history="1">
            <w:r w:rsidR="00CB7E63" w:rsidRPr="00B71047">
              <w:rPr>
                <w:rStyle w:val="Hyperlink"/>
                <w:u w:val="none"/>
              </w:rPr>
              <w:t>4.</w:t>
            </w:r>
            <w:r w:rsidR="00CB7E63" w:rsidRPr="00B71047">
              <w:rPr>
                <w:rFonts w:eastAsiaTheme="minorEastAsia"/>
                <w:lang w:val="en-US"/>
              </w:rPr>
              <w:tab/>
            </w:r>
            <w:r w:rsidR="00CB7E63" w:rsidRPr="00B71047">
              <w:rPr>
                <w:rStyle w:val="Hyperlink"/>
                <w:u w:val="none"/>
              </w:rPr>
              <w:t>Previous Research on Measurement of Peripherality</w:t>
            </w:r>
            <w:bookmarkStart w:id="0" w:name="_GoBack"/>
            <w:bookmarkEnd w:id="0"/>
            <w:r w:rsidR="00CB7E63" w:rsidRPr="00B71047">
              <w:rPr>
                <w:webHidden/>
              </w:rPr>
              <w:tab/>
            </w:r>
            <w:r w:rsidR="00CB7E63" w:rsidRPr="00B71047">
              <w:rPr>
                <w:webHidden/>
              </w:rPr>
              <w:fldChar w:fldCharType="begin"/>
            </w:r>
            <w:r w:rsidR="00CB7E63" w:rsidRPr="00B71047">
              <w:rPr>
                <w:webHidden/>
              </w:rPr>
              <w:instrText xml:space="preserve"> PAGEREF _Toc149219663 \h </w:instrText>
            </w:r>
            <w:r w:rsidR="00CB7E63" w:rsidRPr="00B71047">
              <w:rPr>
                <w:webHidden/>
              </w:rPr>
            </w:r>
            <w:r w:rsidR="00CB7E63" w:rsidRPr="00B71047">
              <w:rPr>
                <w:webHidden/>
              </w:rPr>
              <w:fldChar w:fldCharType="separate"/>
            </w:r>
            <w:r w:rsidR="00CB7E63" w:rsidRPr="00B71047">
              <w:rPr>
                <w:webHidden/>
              </w:rPr>
              <w:t>4</w:t>
            </w:r>
            <w:r w:rsidR="00CB7E63" w:rsidRPr="00B71047">
              <w:rPr>
                <w:webHidden/>
              </w:rPr>
              <w:fldChar w:fldCharType="end"/>
            </w:r>
          </w:hyperlink>
        </w:p>
        <w:p w14:paraId="023A2E80" w14:textId="1F73A29C"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64" w:history="1">
            <w:r w:rsidR="00CB7E63" w:rsidRPr="00B71047">
              <w:rPr>
                <w:rStyle w:val="Hyperlink"/>
                <w:rFonts w:ascii="Arial" w:hAnsi="Arial" w:cs="Arial"/>
                <w:noProof/>
                <w:sz w:val="24"/>
                <w:szCs w:val="24"/>
                <w:u w:val="none"/>
              </w:rPr>
              <w:t>4.1</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International Research</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_Toc149219664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4</w:t>
            </w:r>
            <w:r w:rsidR="00CB7E63" w:rsidRPr="00B71047">
              <w:rPr>
                <w:rFonts w:ascii="Arial" w:hAnsi="Arial" w:cs="Arial"/>
                <w:noProof/>
                <w:webHidden/>
                <w:sz w:val="24"/>
                <w:szCs w:val="24"/>
              </w:rPr>
              <w:fldChar w:fldCharType="end"/>
            </w:r>
          </w:hyperlink>
        </w:p>
        <w:p w14:paraId="0D168A6B" w14:textId="315EBD6D"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65" w:history="1">
            <w:r w:rsidR="00CB7E63" w:rsidRPr="00B71047">
              <w:rPr>
                <w:rStyle w:val="Hyperlink"/>
                <w:rFonts w:ascii="Arial" w:hAnsi="Arial" w:cs="Arial"/>
                <w:noProof/>
                <w:sz w:val="24"/>
                <w:szCs w:val="24"/>
                <w:u w:val="none"/>
              </w:rPr>
              <w:t>4.2</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Methods Applied in Israel</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_Toc149219665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5</w:t>
            </w:r>
            <w:r w:rsidR="00CB7E63" w:rsidRPr="00B71047">
              <w:rPr>
                <w:rFonts w:ascii="Arial" w:hAnsi="Arial" w:cs="Arial"/>
                <w:noProof/>
                <w:webHidden/>
                <w:sz w:val="24"/>
                <w:szCs w:val="24"/>
              </w:rPr>
              <w:fldChar w:fldCharType="end"/>
            </w:r>
          </w:hyperlink>
        </w:p>
        <w:p w14:paraId="34C8DAE7" w14:textId="657CB3EB" w:rsidR="00CB7E63" w:rsidRPr="00B71047" w:rsidRDefault="002140D9">
          <w:pPr>
            <w:pStyle w:val="TOC1"/>
            <w:tabs>
              <w:tab w:val="left" w:pos="440"/>
              <w:tab w:val="right" w:leader="underscore" w:pos="9060"/>
            </w:tabs>
            <w:rPr>
              <w:rFonts w:ascii="Arial" w:eastAsiaTheme="minorEastAsia" w:hAnsi="Arial" w:cs="Arial"/>
              <w:b w:val="0"/>
              <w:bCs w:val="0"/>
              <w:i w:val="0"/>
              <w:iCs w:val="0"/>
              <w:noProof/>
              <w:lang w:val="en-US"/>
            </w:rPr>
          </w:pPr>
          <w:hyperlink w:anchor="_Toc149219666" w:history="1">
            <w:r w:rsidR="00CB7E63" w:rsidRPr="00B71047">
              <w:rPr>
                <w:rStyle w:val="Hyperlink"/>
                <w:rFonts w:ascii="Arial" w:hAnsi="Arial" w:cs="Arial"/>
                <w:i w:val="0"/>
                <w:iCs w:val="0"/>
                <w:noProof/>
                <w:u w:val="none"/>
              </w:rPr>
              <w:t>B.</w:t>
            </w:r>
            <w:r w:rsidR="00CB7E63" w:rsidRPr="00B71047">
              <w:rPr>
                <w:rFonts w:ascii="Arial" w:eastAsiaTheme="minorEastAsia" w:hAnsi="Arial" w:cs="Arial"/>
                <w:b w:val="0"/>
                <w:bCs w:val="0"/>
                <w:i w:val="0"/>
                <w:iCs w:val="0"/>
                <w:noProof/>
                <w:lang w:val="en-US"/>
              </w:rPr>
              <w:tab/>
            </w:r>
            <w:r w:rsidR="00CB7E63" w:rsidRPr="00B71047">
              <w:rPr>
                <w:rStyle w:val="Hyperlink"/>
                <w:rFonts w:ascii="Arial" w:hAnsi="Arial" w:cs="Arial"/>
                <w:i w:val="0"/>
                <w:iCs w:val="0"/>
                <w:noProof/>
                <w:u w:val="none"/>
              </w:rPr>
              <w:t>Geographical Basis</w:t>
            </w:r>
            <w:r w:rsidR="00CB7E63" w:rsidRPr="00B71047">
              <w:rPr>
                <w:rFonts w:ascii="Arial" w:hAnsi="Arial" w:cs="Arial"/>
                <w:i w:val="0"/>
                <w:iCs w:val="0"/>
                <w:noProof/>
                <w:webHidden/>
              </w:rPr>
              <w:tab/>
            </w:r>
            <w:r w:rsidR="00CB7E63" w:rsidRPr="00B71047">
              <w:rPr>
                <w:rFonts w:ascii="Arial" w:hAnsi="Arial" w:cs="Arial"/>
                <w:i w:val="0"/>
                <w:iCs w:val="0"/>
                <w:noProof/>
                <w:webHidden/>
              </w:rPr>
              <w:fldChar w:fldCharType="begin"/>
            </w:r>
            <w:r w:rsidR="00CB7E63" w:rsidRPr="00B71047">
              <w:rPr>
                <w:rFonts w:ascii="Arial" w:hAnsi="Arial" w:cs="Arial"/>
                <w:i w:val="0"/>
                <w:iCs w:val="0"/>
                <w:noProof/>
                <w:webHidden/>
              </w:rPr>
              <w:instrText xml:space="preserve"> PAGEREF _Toc149219666 \h </w:instrText>
            </w:r>
            <w:r w:rsidR="00CB7E63" w:rsidRPr="00B71047">
              <w:rPr>
                <w:rFonts w:ascii="Arial" w:hAnsi="Arial" w:cs="Arial"/>
                <w:i w:val="0"/>
                <w:iCs w:val="0"/>
                <w:noProof/>
                <w:webHidden/>
              </w:rPr>
            </w:r>
            <w:r w:rsidR="00CB7E63" w:rsidRPr="00B71047">
              <w:rPr>
                <w:rFonts w:ascii="Arial" w:hAnsi="Arial" w:cs="Arial"/>
                <w:i w:val="0"/>
                <w:iCs w:val="0"/>
                <w:noProof/>
                <w:webHidden/>
              </w:rPr>
              <w:fldChar w:fldCharType="separate"/>
            </w:r>
            <w:r w:rsidR="00CB7E63" w:rsidRPr="00B71047">
              <w:rPr>
                <w:rFonts w:ascii="Arial" w:hAnsi="Arial" w:cs="Arial"/>
                <w:i w:val="0"/>
                <w:iCs w:val="0"/>
                <w:noProof/>
                <w:webHidden/>
              </w:rPr>
              <w:t>6</w:t>
            </w:r>
            <w:r w:rsidR="00CB7E63" w:rsidRPr="00B71047">
              <w:rPr>
                <w:rFonts w:ascii="Arial" w:hAnsi="Arial" w:cs="Arial"/>
                <w:i w:val="0"/>
                <w:iCs w:val="0"/>
                <w:noProof/>
                <w:webHidden/>
              </w:rPr>
              <w:fldChar w:fldCharType="end"/>
            </w:r>
          </w:hyperlink>
        </w:p>
        <w:p w14:paraId="1882AAF3" w14:textId="29E93B7B" w:rsidR="00CB7E63" w:rsidRPr="00B71047" w:rsidRDefault="002140D9">
          <w:pPr>
            <w:pStyle w:val="TOC2"/>
            <w:rPr>
              <w:rFonts w:eastAsiaTheme="minorEastAsia"/>
              <w:lang w:val="en-US"/>
            </w:rPr>
          </w:pPr>
          <w:hyperlink w:anchor="_Toc149219667" w:history="1">
            <w:r w:rsidR="00CB7E63" w:rsidRPr="00B71047">
              <w:rPr>
                <w:rStyle w:val="Hyperlink"/>
                <w:u w:val="none"/>
              </w:rPr>
              <w:t>1.</w:t>
            </w:r>
            <w:r w:rsidR="00CB7E63" w:rsidRPr="00B71047">
              <w:rPr>
                <w:rFonts w:eastAsiaTheme="minorEastAsia"/>
                <w:lang w:val="en-US"/>
              </w:rPr>
              <w:tab/>
            </w:r>
            <w:r w:rsidR="00CB7E63" w:rsidRPr="00B71047">
              <w:rPr>
                <w:rStyle w:val="Hyperlink"/>
                <w:u w:val="none"/>
              </w:rPr>
              <w:t>General Definitions and Explanations</w:t>
            </w:r>
            <w:r w:rsidR="00CB7E63" w:rsidRPr="00B71047">
              <w:rPr>
                <w:webHidden/>
              </w:rPr>
              <w:tab/>
            </w:r>
            <w:r w:rsidR="00CB7E63" w:rsidRPr="00B71047">
              <w:rPr>
                <w:webHidden/>
              </w:rPr>
              <w:fldChar w:fldCharType="begin"/>
            </w:r>
            <w:r w:rsidR="00CB7E63" w:rsidRPr="00B71047">
              <w:rPr>
                <w:webHidden/>
              </w:rPr>
              <w:instrText xml:space="preserve"> PAGEREF _Toc149219667 \h </w:instrText>
            </w:r>
            <w:r w:rsidR="00CB7E63" w:rsidRPr="00B71047">
              <w:rPr>
                <w:webHidden/>
              </w:rPr>
            </w:r>
            <w:r w:rsidR="00CB7E63" w:rsidRPr="00B71047">
              <w:rPr>
                <w:webHidden/>
              </w:rPr>
              <w:fldChar w:fldCharType="separate"/>
            </w:r>
            <w:r w:rsidR="00CB7E63" w:rsidRPr="00B71047">
              <w:rPr>
                <w:webHidden/>
              </w:rPr>
              <w:t>6</w:t>
            </w:r>
            <w:r w:rsidR="00CB7E63" w:rsidRPr="00B71047">
              <w:rPr>
                <w:webHidden/>
              </w:rPr>
              <w:fldChar w:fldCharType="end"/>
            </w:r>
          </w:hyperlink>
        </w:p>
        <w:p w14:paraId="67E4EB1A" w14:textId="7DFCF868" w:rsidR="00CB7E63" w:rsidRPr="00B71047" w:rsidRDefault="002140D9">
          <w:pPr>
            <w:pStyle w:val="TOC2"/>
            <w:rPr>
              <w:rFonts w:eastAsiaTheme="minorEastAsia"/>
              <w:lang w:val="en-US"/>
            </w:rPr>
          </w:pPr>
          <w:hyperlink w:anchor="_Toc149219668" w:history="1">
            <w:r w:rsidR="00CB7E63" w:rsidRPr="00B71047">
              <w:rPr>
                <w:rStyle w:val="Hyperlink"/>
                <w:u w:val="none"/>
              </w:rPr>
              <w:t>2.</w:t>
            </w:r>
            <w:r w:rsidR="00CB7E63" w:rsidRPr="00B71047">
              <w:rPr>
                <w:rFonts w:eastAsiaTheme="minorEastAsia"/>
                <w:lang w:val="en-US"/>
              </w:rPr>
              <w:tab/>
            </w:r>
            <w:r w:rsidR="00CB7E63" w:rsidRPr="00B71047">
              <w:rPr>
                <w:rStyle w:val="Hyperlink"/>
                <w:u w:val="none"/>
              </w:rPr>
              <w:t>Geographical Basis of the Study</w:t>
            </w:r>
            <w:r w:rsidR="00CB7E63" w:rsidRPr="00B71047">
              <w:rPr>
                <w:webHidden/>
              </w:rPr>
              <w:tab/>
            </w:r>
            <w:r w:rsidR="00CB7E63" w:rsidRPr="00B71047">
              <w:rPr>
                <w:webHidden/>
              </w:rPr>
              <w:fldChar w:fldCharType="begin"/>
            </w:r>
            <w:r w:rsidR="00CB7E63" w:rsidRPr="00B71047">
              <w:rPr>
                <w:webHidden/>
              </w:rPr>
              <w:instrText xml:space="preserve"> PAGEREF _Toc149219668 \h </w:instrText>
            </w:r>
            <w:r w:rsidR="00CB7E63" w:rsidRPr="00B71047">
              <w:rPr>
                <w:webHidden/>
              </w:rPr>
            </w:r>
            <w:r w:rsidR="00CB7E63" w:rsidRPr="00B71047">
              <w:rPr>
                <w:webHidden/>
              </w:rPr>
              <w:fldChar w:fldCharType="separate"/>
            </w:r>
            <w:r w:rsidR="00CB7E63" w:rsidRPr="00B71047">
              <w:rPr>
                <w:webHidden/>
              </w:rPr>
              <w:t>9</w:t>
            </w:r>
            <w:r w:rsidR="00CB7E63" w:rsidRPr="00B71047">
              <w:rPr>
                <w:webHidden/>
              </w:rPr>
              <w:fldChar w:fldCharType="end"/>
            </w:r>
          </w:hyperlink>
        </w:p>
        <w:p w14:paraId="541C3D31" w14:textId="36F1D64F" w:rsidR="00CB7E63" w:rsidRPr="00B71047" w:rsidRDefault="002140D9">
          <w:pPr>
            <w:pStyle w:val="TOC1"/>
            <w:tabs>
              <w:tab w:val="left" w:pos="440"/>
              <w:tab w:val="right" w:leader="underscore" w:pos="9060"/>
            </w:tabs>
            <w:rPr>
              <w:rFonts w:ascii="Arial" w:eastAsiaTheme="minorEastAsia" w:hAnsi="Arial" w:cs="Arial"/>
              <w:b w:val="0"/>
              <w:bCs w:val="0"/>
              <w:i w:val="0"/>
              <w:iCs w:val="0"/>
              <w:noProof/>
              <w:lang w:val="en-US"/>
            </w:rPr>
          </w:pPr>
          <w:hyperlink w:anchor="_Toc149219669" w:history="1">
            <w:r w:rsidR="00CB7E63" w:rsidRPr="00B71047">
              <w:rPr>
                <w:rStyle w:val="Hyperlink"/>
                <w:rFonts w:ascii="Arial" w:hAnsi="Arial" w:cs="Arial"/>
                <w:i w:val="0"/>
                <w:iCs w:val="0"/>
                <w:noProof/>
                <w:u w:val="none"/>
              </w:rPr>
              <w:t>C.</w:t>
            </w:r>
            <w:r w:rsidR="00CB7E63" w:rsidRPr="00B71047">
              <w:rPr>
                <w:rFonts w:ascii="Arial" w:eastAsiaTheme="minorEastAsia" w:hAnsi="Arial" w:cs="Arial"/>
                <w:b w:val="0"/>
                <w:bCs w:val="0"/>
                <w:i w:val="0"/>
                <w:iCs w:val="0"/>
                <w:noProof/>
                <w:lang w:val="en-US"/>
              </w:rPr>
              <w:tab/>
            </w:r>
            <w:r w:rsidR="00CB7E63" w:rsidRPr="00B71047">
              <w:rPr>
                <w:rStyle w:val="Hyperlink"/>
                <w:rFonts w:ascii="Arial" w:hAnsi="Arial" w:cs="Arial"/>
                <w:i w:val="0"/>
                <w:iCs w:val="0"/>
                <w:noProof/>
                <w:u w:val="none"/>
              </w:rPr>
              <w:t>Potential Accessibility Index</w:t>
            </w:r>
            <w:r w:rsidR="00CB7E63" w:rsidRPr="00B71047">
              <w:rPr>
                <w:rFonts w:ascii="Arial" w:hAnsi="Arial" w:cs="Arial"/>
                <w:i w:val="0"/>
                <w:iCs w:val="0"/>
                <w:noProof/>
                <w:webHidden/>
              </w:rPr>
              <w:tab/>
            </w:r>
            <w:r w:rsidR="00CB7E63" w:rsidRPr="00B71047">
              <w:rPr>
                <w:rFonts w:ascii="Arial" w:hAnsi="Arial" w:cs="Arial"/>
                <w:i w:val="0"/>
                <w:iCs w:val="0"/>
                <w:noProof/>
                <w:webHidden/>
              </w:rPr>
              <w:fldChar w:fldCharType="begin"/>
            </w:r>
            <w:r w:rsidR="00CB7E63" w:rsidRPr="00B71047">
              <w:rPr>
                <w:rFonts w:ascii="Arial" w:hAnsi="Arial" w:cs="Arial"/>
                <w:i w:val="0"/>
                <w:iCs w:val="0"/>
                <w:noProof/>
                <w:webHidden/>
              </w:rPr>
              <w:instrText xml:space="preserve"> PAGEREF _Toc149219669 \h </w:instrText>
            </w:r>
            <w:r w:rsidR="00CB7E63" w:rsidRPr="00B71047">
              <w:rPr>
                <w:rFonts w:ascii="Arial" w:hAnsi="Arial" w:cs="Arial"/>
                <w:i w:val="0"/>
                <w:iCs w:val="0"/>
                <w:noProof/>
                <w:webHidden/>
              </w:rPr>
            </w:r>
            <w:r w:rsidR="00CB7E63" w:rsidRPr="00B71047">
              <w:rPr>
                <w:rFonts w:ascii="Arial" w:hAnsi="Arial" w:cs="Arial"/>
                <w:i w:val="0"/>
                <w:iCs w:val="0"/>
                <w:noProof/>
                <w:webHidden/>
              </w:rPr>
              <w:fldChar w:fldCharType="separate"/>
            </w:r>
            <w:r w:rsidR="00CB7E63" w:rsidRPr="00B71047">
              <w:rPr>
                <w:rFonts w:ascii="Arial" w:hAnsi="Arial" w:cs="Arial"/>
                <w:i w:val="0"/>
                <w:iCs w:val="0"/>
                <w:noProof/>
                <w:webHidden/>
              </w:rPr>
              <w:t>10</w:t>
            </w:r>
            <w:r w:rsidR="00CB7E63" w:rsidRPr="00B71047">
              <w:rPr>
                <w:rFonts w:ascii="Arial" w:hAnsi="Arial" w:cs="Arial"/>
                <w:i w:val="0"/>
                <w:iCs w:val="0"/>
                <w:noProof/>
                <w:webHidden/>
              </w:rPr>
              <w:fldChar w:fldCharType="end"/>
            </w:r>
          </w:hyperlink>
        </w:p>
        <w:p w14:paraId="5A6462CE" w14:textId="4F46CA62" w:rsidR="00CB7E63" w:rsidRPr="00B71047" w:rsidRDefault="002140D9">
          <w:pPr>
            <w:pStyle w:val="TOC2"/>
            <w:rPr>
              <w:rFonts w:eastAsiaTheme="minorEastAsia"/>
              <w:lang w:val="en-US"/>
            </w:rPr>
          </w:pPr>
          <w:hyperlink w:anchor="_Toc149219670" w:history="1">
            <w:r w:rsidR="00CB7E63" w:rsidRPr="00B71047">
              <w:rPr>
                <w:rStyle w:val="Hyperlink"/>
                <w:u w:val="none"/>
              </w:rPr>
              <w:t>1.</w:t>
            </w:r>
            <w:r w:rsidR="00CB7E63" w:rsidRPr="00B71047">
              <w:rPr>
                <w:rFonts w:eastAsiaTheme="minorEastAsia"/>
                <w:lang w:val="en-US"/>
              </w:rPr>
              <w:tab/>
            </w:r>
            <w:r w:rsidR="00CB7E63" w:rsidRPr="00B71047">
              <w:rPr>
                <w:rStyle w:val="Hyperlink"/>
                <w:u w:val="none"/>
              </w:rPr>
              <w:t>Basic Model</w:t>
            </w:r>
            <w:r w:rsidR="00CB7E63" w:rsidRPr="00B71047">
              <w:rPr>
                <w:webHidden/>
              </w:rPr>
              <w:tab/>
            </w:r>
            <w:r w:rsidR="00CB7E63" w:rsidRPr="00B71047">
              <w:rPr>
                <w:webHidden/>
              </w:rPr>
              <w:fldChar w:fldCharType="begin"/>
            </w:r>
            <w:r w:rsidR="00CB7E63" w:rsidRPr="00B71047">
              <w:rPr>
                <w:webHidden/>
              </w:rPr>
              <w:instrText xml:space="preserve"> PAGEREF _Toc149219670 \h </w:instrText>
            </w:r>
            <w:r w:rsidR="00CB7E63" w:rsidRPr="00B71047">
              <w:rPr>
                <w:webHidden/>
              </w:rPr>
            </w:r>
            <w:r w:rsidR="00CB7E63" w:rsidRPr="00B71047">
              <w:rPr>
                <w:webHidden/>
              </w:rPr>
              <w:fldChar w:fldCharType="separate"/>
            </w:r>
            <w:r w:rsidR="00CB7E63" w:rsidRPr="00B71047">
              <w:rPr>
                <w:webHidden/>
              </w:rPr>
              <w:t>10</w:t>
            </w:r>
            <w:r w:rsidR="00CB7E63" w:rsidRPr="00B71047">
              <w:rPr>
                <w:webHidden/>
              </w:rPr>
              <w:fldChar w:fldCharType="end"/>
            </w:r>
          </w:hyperlink>
        </w:p>
        <w:p w14:paraId="582F6927" w14:textId="166119DD" w:rsidR="00CB7E63" w:rsidRPr="00B71047" w:rsidRDefault="002140D9">
          <w:pPr>
            <w:pStyle w:val="TOC2"/>
            <w:rPr>
              <w:rFonts w:eastAsiaTheme="minorEastAsia"/>
              <w:lang w:val="en-US"/>
            </w:rPr>
          </w:pPr>
          <w:hyperlink w:anchor="_Toc149219671" w:history="1">
            <w:r w:rsidR="00CB7E63" w:rsidRPr="00B71047">
              <w:rPr>
                <w:rStyle w:val="Hyperlink"/>
                <w:u w:val="none"/>
              </w:rPr>
              <w:t>2.</w:t>
            </w:r>
            <w:r w:rsidR="00CB7E63" w:rsidRPr="00B71047">
              <w:rPr>
                <w:rFonts w:eastAsiaTheme="minorEastAsia"/>
                <w:lang w:val="en-US"/>
              </w:rPr>
              <w:tab/>
            </w:r>
            <w:r w:rsidR="00CB7E63" w:rsidRPr="00B71047">
              <w:rPr>
                <w:rStyle w:val="Hyperlink"/>
                <w:u w:val="none"/>
              </w:rPr>
              <w:t>Units of Measurement and Parameters</w:t>
            </w:r>
            <w:r w:rsidR="00CB7E63" w:rsidRPr="00B71047">
              <w:rPr>
                <w:webHidden/>
              </w:rPr>
              <w:tab/>
            </w:r>
            <w:r w:rsidR="00CB7E63" w:rsidRPr="00B71047">
              <w:rPr>
                <w:webHidden/>
              </w:rPr>
              <w:fldChar w:fldCharType="begin"/>
            </w:r>
            <w:r w:rsidR="00CB7E63" w:rsidRPr="00B71047">
              <w:rPr>
                <w:webHidden/>
              </w:rPr>
              <w:instrText xml:space="preserve"> PAGEREF _Toc149219671 \h </w:instrText>
            </w:r>
            <w:r w:rsidR="00CB7E63" w:rsidRPr="00B71047">
              <w:rPr>
                <w:webHidden/>
              </w:rPr>
            </w:r>
            <w:r w:rsidR="00CB7E63" w:rsidRPr="00B71047">
              <w:rPr>
                <w:webHidden/>
              </w:rPr>
              <w:fldChar w:fldCharType="separate"/>
            </w:r>
            <w:r w:rsidR="00CB7E63" w:rsidRPr="00B71047">
              <w:rPr>
                <w:webHidden/>
              </w:rPr>
              <w:t>12</w:t>
            </w:r>
            <w:r w:rsidR="00CB7E63" w:rsidRPr="00B71047">
              <w:rPr>
                <w:webHidden/>
              </w:rPr>
              <w:fldChar w:fldCharType="end"/>
            </w:r>
          </w:hyperlink>
        </w:p>
        <w:p w14:paraId="2DE1E1B9" w14:textId="47FB1E2A"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72" w:history="1">
            <w:r w:rsidR="00CB7E63" w:rsidRPr="00B71047">
              <w:rPr>
                <w:rStyle w:val="Hyperlink"/>
                <w:rFonts w:ascii="Arial" w:hAnsi="Arial" w:cs="Arial"/>
                <w:noProof/>
                <w:sz w:val="24"/>
                <w:szCs w:val="24"/>
                <w:u w:val="none"/>
              </w:rPr>
              <w:t>2.1</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Intensity of Activities at the Destination</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_Toc149219672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12</w:t>
            </w:r>
            <w:r w:rsidR="00CB7E63" w:rsidRPr="00B71047">
              <w:rPr>
                <w:rFonts w:ascii="Arial" w:hAnsi="Arial" w:cs="Arial"/>
                <w:noProof/>
                <w:webHidden/>
                <w:sz w:val="24"/>
                <w:szCs w:val="24"/>
              </w:rPr>
              <w:fldChar w:fldCharType="end"/>
            </w:r>
          </w:hyperlink>
        </w:p>
        <w:p w14:paraId="4D9D46E8" w14:textId="3B3EC21D"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73" w:history="1">
            <w:r w:rsidR="00CB7E63" w:rsidRPr="00B71047">
              <w:rPr>
                <w:rStyle w:val="Hyperlink"/>
                <w:rFonts w:ascii="Arial" w:hAnsi="Arial" w:cs="Arial"/>
                <w:noProof/>
                <w:sz w:val="24"/>
                <w:szCs w:val="24"/>
                <w:u w:val="none"/>
              </w:rPr>
              <w:t>2.2</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Travel Impedance</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_Toc149219673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12</w:t>
            </w:r>
            <w:r w:rsidR="00CB7E63" w:rsidRPr="00B71047">
              <w:rPr>
                <w:rFonts w:ascii="Arial" w:hAnsi="Arial" w:cs="Arial"/>
                <w:noProof/>
                <w:webHidden/>
                <w:sz w:val="24"/>
                <w:szCs w:val="24"/>
              </w:rPr>
              <w:fldChar w:fldCharType="end"/>
            </w:r>
          </w:hyperlink>
        </w:p>
        <w:p w14:paraId="25B5FDD0" w14:textId="1DF1E9D7"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74" w:history="1">
            <w:r w:rsidR="00CB7E63" w:rsidRPr="00B71047">
              <w:rPr>
                <w:rStyle w:val="Hyperlink"/>
                <w:rFonts w:ascii="Arial" w:hAnsi="Arial" w:cs="Arial"/>
                <w:noProof/>
                <w:sz w:val="24"/>
                <w:szCs w:val="24"/>
                <w:u w:val="none"/>
              </w:rPr>
              <w:t>2.3</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Internal Impedance</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_Toc149219674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13</w:t>
            </w:r>
            <w:r w:rsidR="00CB7E63" w:rsidRPr="00B71047">
              <w:rPr>
                <w:rFonts w:ascii="Arial" w:hAnsi="Arial" w:cs="Arial"/>
                <w:noProof/>
                <w:webHidden/>
                <w:sz w:val="24"/>
                <w:szCs w:val="24"/>
              </w:rPr>
              <w:fldChar w:fldCharType="end"/>
            </w:r>
          </w:hyperlink>
        </w:p>
        <w:p w14:paraId="51D6CBA2" w14:textId="452D550C"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75" w:history="1">
            <w:r w:rsidR="00CB7E63" w:rsidRPr="00B71047">
              <w:rPr>
                <w:rStyle w:val="Hyperlink"/>
                <w:rFonts w:ascii="Arial" w:hAnsi="Arial" w:cs="Arial"/>
                <w:noProof/>
                <w:sz w:val="24"/>
                <w:szCs w:val="24"/>
                <w:u w:val="none"/>
              </w:rPr>
              <w:t>2.4</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Impedance Function</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_Toc149219675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13</w:t>
            </w:r>
            <w:r w:rsidR="00CB7E63" w:rsidRPr="00B71047">
              <w:rPr>
                <w:rFonts w:ascii="Arial" w:hAnsi="Arial" w:cs="Arial"/>
                <w:noProof/>
                <w:webHidden/>
                <w:sz w:val="24"/>
                <w:szCs w:val="24"/>
              </w:rPr>
              <w:fldChar w:fldCharType="end"/>
            </w:r>
          </w:hyperlink>
        </w:p>
        <w:p w14:paraId="384EF319" w14:textId="4E7B4905"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76" w:history="1">
            <w:r w:rsidR="00CB7E63" w:rsidRPr="00B71047">
              <w:rPr>
                <w:rStyle w:val="Hyperlink"/>
                <w:rFonts w:ascii="Arial" w:hAnsi="Arial" w:cs="Arial"/>
                <w:noProof/>
                <w:sz w:val="24"/>
                <w:szCs w:val="24"/>
                <w:u w:val="none"/>
              </w:rPr>
              <w:t>2.5</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Distance Decay Parameter</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_Toc149219676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14</w:t>
            </w:r>
            <w:r w:rsidR="00CB7E63" w:rsidRPr="00B71047">
              <w:rPr>
                <w:rFonts w:ascii="Arial" w:hAnsi="Arial" w:cs="Arial"/>
                <w:noProof/>
                <w:webHidden/>
                <w:sz w:val="24"/>
                <w:szCs w:val="24"/>
              </w:rPr>
              <w:fldChar w:fldCharType="end"/>
            </w:r>
          </w:hyperlink>
        </w:p>
        <w:p w14:paraId="47D0D97A" w14:textId="4660B544" w:rsidR="00CB7E63" w:rsidRPr="00B71047" w:rsidRDefault="002140D9">
          <w:pPr>
            <w:pStyle w:val="TOC1"/>
            <w:tabs>
              <w:tab w:val="left" w:pos="440"/>
              <w:tab w:val="right" w:leader="underscore" w:pos="9060"/>
            </w:tabs>
            <w:rPr>
              <w:rFonts w:ascii="Arial" w:eastAsiaTheme="minorEastAsia" w:hAnsi="Arial" w:cs="Arial"/>
              <w:b w:val="0"/>
              <w:bCs w:val="0"/>
              <w:i w:val="0"/>
              <w:iCs w:val="0"/>
              <w:noProof/>
              <w:lang w:val="en-US"/>
            </w:rPr>
          </w:pPr>
          <w:hyperlink w:anchor="_Toc149219677" w:history="1">
            <w:r w:rsidR="00CB7E63" w:rsidRPr="00B71047">
              <w:rPr>
                <w:rStyle w:val="Hyperlink"/>
                <w:rFonts w:ascii="Arial" w:hAnsi="Arial" w:cs="Arial"/>
                <w:i w:val="0"/>
                <w:iCs w:val="0"/>
                <w:noProof/>
                <w:u w:val="none"/>
              </w:rPr>
              <w:t>D.</w:t>
            </w:r>
            <w:r w:rsidR="00CB7E63" w:rsidRPr="00B71047">
              <w:rPr>
                <w:rFonts w:ascii="Arial" w:eastAsiaTheme="minorEastAsia" w:hAnsi="Arial" w:cs="Arial"/>
                <w:b w:val="0"/>
                <w:bCs w:val="0"/>
                <w:i w:val="0"/>
                <w:iCs w:val="0"/>
                <w:noProof/>
                <w:lang w:val="en-US"/>
              </w:rPr>
              <w:tab/>
            </w:r>
            <w:r w:rsidR="00CB7E63" w:rsidRPr="00B71047">
              <w:rPr>
                <w:rStyle w:val="Hyperlink"/>
                <w:rFonts w:ascii="Arial" w:hAnsi="Arial" w:cs="Arial"/>
                <w:i w:val="0"/>
                <w:iCs w:val="0"/>
                <w:noProof/>
                <w:u w:val="none"/>
              </w:rPr>
              <w:t>Calculation of the Peripherality Index</w:t>
            </w:r>
            <w:r w:rsidR="00CB7E63" w:rsidRPr="00B71047">
              <w:rPr>
                <w:rFonts w:ascii="Arial" w:hAnsi="Arial" w:cs="Arial"/>
                <w:i w:val="0"/>
                <w:iCs w:val="0"/>
                <w:noProof/>
                <w:webHidden/>
              </w:rPr>
              <w:tab/>
            </w:r>
            <w:r w:rsidR="00CB7E63" w:rsidRPr="00B71047">
              <w:rPr>
                <w:rFonts w:ascii="Arial" w:hAnsi="Arial" w:cs="Arial"/>
                <w:i w:val="0"/>
                <w:iCs w:val="0"/>
                <w:noProof/>
                <w:webHidden/>
              </w:rPr>
              <w:fldChar w:fldCharType="begin"/>
            </w:r>
            <w:r w:rsidR="00CB7E63" w:rsidRPr="00B71047">
              <w:rPr>
                <w:rFonts w:ascii="Arial" w:hAnsi="Arial" w:cs="Arial"/>
                <w:i w:val="0"/>
                <w:iCs w:val="0"/>
                <w:noProof/>
                <w:webHidden/>
              </w:rPr>
              <w:instrText xml:space="preserve"> PAGEREF _Toc149219677 \h </w:instrText>
            </w:r>
            <w:r w:rsidR="00CB7E63" w:rsidRPr="00B71047">
              <w:rPr>
                <w:rFonts w:ascii="Arial" w:hAnsi="Arial" w:cs="Arial"/>
                <w:i w:val="0"/>
                <w:iCs w:val="0"/>
                <w:noProof/>
                <w:webHidden/>
              </w:rPr>
            </w:r>
            <w:r w:rsidR="00CB7E63" w:rsidRPr="00B71047">
              <w:rPr>
                <w:rFonts w:ascii="Arial" w:hAnsi="Arial" w:cs="Arial"/>
                <w:i w:val="0"/>
                <w:iCs w:val="0"/>
                <w:noProof/>
                <w:webHidden/>
              </w:rPr>
              <w:fldChar w:fldCharType="separate"/>
            </w:r>
            <w:r w:rsidR="00CB7E63" w:rsidRPr="00B71047">
              <w:rPr>
                <w:rFonts w:ascii="Arial" w:hAnsi="Arial" w:cs="Arial"/>
                <w:i w:val="0"/>
                <w:iCs w:val="0"/>
                <w:noProof/>
                <w:webHidden/>
              </w:rPr>
              <w:t>15</w:t>
            </w:r>
            <w:r w:rsidR="00CB7E63" w:rsidRPr="00B71047">
              <w:rPr>
                <w:rFonts w:ascii="Arial" w:hAnsi="Arial" w:cs="Arial"/>
                <w:i w:val="0"/>
                <w:iCs w:val="0"/>
                <w:noProof/>
                <w:webHidden/>
              </w:rPr>
              <w:fldChar w:fldCharType="end"/>
            </w:r>
          </w:hyperlink>
        </w:p>
        <w:p w14:paraId="3233FD88" w14:textId="0F2E8D51" w:rsidR="00CB7E63" w:rsidRPr="00B71047" w:rsidRDefault="002140D9">
          <w:pPr>
            <w:pStyle w:val="TOC2"/>
            <w:rPr>
              <w:rFonts w:eastAsiaTheme="minorEastAsia"/>
              <w:lang w:val="en-US"/>
            </w:rPr>
          </w:pPr>
          <w:hyperlink w:anchor="_Toc149219678" w:history="1">
            <w:r w:rsidR="00CB7E63" w:rsidRPr="00B71047">
              <w:rPr>
                <w:rStyle w:val="Hyperlink"/>
                <w:u w:val="none"/>
              </w:rPr>
              <w:t>1.</w:t>
            </w:r>
            <w:r w:rsidR="00CB7E63" w:rsidRPr="00B71047">
              <w:rPr>
                <w:rFonts w:eastAsiaTheme="minorEastAsia"/>
                <w:lang w:val="en-US"/>
              </w:rPr>
              <w:tab/>
            </w:r>
            <w:r w:rsidR="00CB7E63" w:rsidRPr="00B71047">
              <w:rPr>
                <w:rStyle w:val="Hyperlink"/>
                <w:u w:val="none"/>
              </w:rPr>
              <w:t>Calculation of the Index for Localities</w:t>
            </w:r>
            <w:r w:rsidR="00CB7E63" w:rsidRPr="00B71047">
              <w:rPr>
                <w:webHidden/>
              </w:rPr>
              <w:tab/>
            </w:r>
            <w:r w:rsidR="00CB7E63" w:rsidRPr="00B71047">
              <w:rPr>
                <w:webHidden/>
              </w:rPr>
              <w:fldChar w:fldCharType="begin"/>
            </w:r>
            <w:r w:rsidR="00CB7E63" w:rsidRPr="00B71047">
              <w:rPr>
                <w:webHidden/>
              </w:rPr>
              <w:instrText xml:space="preserve"> PAGEREF _Toc149219678 \h </w:instrText>
            </w:r>
            <w:r w:rsidR="00CB7E63" w:rsidRPr="00B71047">
              <w:rPr>
                <w:webHidden/>
              </w:rPr>
            </w:r>
            <w:r w:rsidR="00CB7E63" w:rsidRPr="00B71047">
              <w:rPr>
                <w:webHidden/>
              </w:rPr>
              <w:fldChar w:fldCharType="separate"/>
            </w:r>
            <w:r w:rsidR="00CB7E63" w:rsidRPr="00B71047">
              <w:rPr>
                <w:webHidden/>
              </w:rPr>
              <w:t>15</w:t>
            </w:r>
            <w:r w:rsidR="00CB7E63" w:rsidRPr="00B71047">
              <w:rPr>
                <w:webHidden/>
              </w:rPr>
              <w:fldChar w:fldCharType="end"/>
            </w:r>
          </w:hyperlink>
        </w:p>
        <w:p w14:paraId="0F920694" w14:textId="39971B60"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79" w:history="1">
            <w:r w:rsidR="00CB7E63" w:rsidRPr="00B71047">
              <w:rPr>
                <w:rStyle w:val="Hyperlink"/>
                <w:rFonts w:ascii="Arial" w:hAnsi="Arial" w:cs="Arial"/>
                <w:noProof/>
                <w:sz w:val="24"/>
                <w:szCs w:val="24"/>
                <w:u w:val="none"/>
              </w:rPr>
              <w:t>1.1</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Value of the Potential Accessibility Index</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_Toc149219679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15</w:t>
            </w:r>
            <w:r w:rsidR="00CB7E63" w:rsidRPr="00B71047">
              <w:rPr>
                <w:rFonts w:ascii="Arial" w:hAnsi="Arial" w:cs="Arial"/>
                <w:noProof/>
                <w:webHidden/>
                <w:sz w:val="24"/>
                <w:szCs w:val="24"/>
              </w:rPr>
              <w:fldChar w:fldCharType="end"/>
            </w:r>
          </w:hyperlink>
        </w:p>
        <w:p w14:paraId="701309C5" w14:textId="50A353E1"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80" w:history="1">
            <w:r w:rsidR="00CB7E63" w:rsidRPr="00B71047">
              <w:rPr>
                <w:rStyle w:val="Hyperlink"/>
                <w:rFonts w:ascii="Arial" w:hAnsi="Arial" w:cs="Arial"/>
                <w:noProof/>
                <w:sz w:val="24"/>
                <w:szCs w:val="24"/>
                <w:u w:val="none"/>
              </w:rPr>
              <w:t>1.2</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Proximity to the Boundary of the Tel Aviv District</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_Toc149219680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17</w:t>
            </w:r>
            <w:r w:rsidR="00CB7E63" w:rsidRPr="00B71047">
              <w:rPr>
                <w:rFonts w:ascii="Arial" w:hAnsi="Arial" w:cs="Arial"/>
                <w:noProof/>
                <w:webHidden/>
                <w:sz w:val="24"/>
                <w:szCs w:val="24"/>
              </w:rPr>
              <w:fldChar w:fldCharType="end"/>
            </w:r>
          </w:hyperlink>
        </w:p>
        <w:p w14:paraId="256AB8A3" w14:textId="2CEFE63F" w:rsidR="00CB7E63" w:rsidRPr="00B71047" w:rsidRDefault="002140D9">
          <w:pPr>
            <w:pStyle w:val="TOC3"/>
            <w:tabs>
              <w:tab w:val="left" w:pos="1100"/>
              <w:tab w:val="right" w:leader="underscore" w:pos="9060"/>
            </w:tabs>
            <w:rPr>
              <w:rFonts w:ascii="Arial" w:eastAsiaTheme="minorEastAsia" w:hAnsi="Arial" w:cs="Arial"/>
              <w:noProof/>
              <w:sz w:val="24"/>
              <w:szCs w:val="24"/>
              <w:lang w:val="en-US"/>
            </w:rPr>
          </w:pPr>
          <w:hyperlink w:anchor="_Toc149219681" w:history="1">
            <w:r w:rsidR="00CB7E63" w:rsidRPr="00B71047">
              <w:rPr>
                <w:rStyle w:val="Hyperlink"/>
                <w:rFonts w:ascii="Arial" w:hAnsi="Arial" w:cs="Arial"/>
                <w:noProof/>
                <w:sz w:val="24"/>
                <w:szCs w:val="24"/>
                <w:u w:val="none"/>
              </w:rPr>
              <w:t>1.3</w:t>
            </w:r>
            <w:r w:rsidR="00CB7E63" w:rsidRPr="00B71047">
              <w:rPr>
                <w:rFonts w:ascii="Arial" w:eastAsiaTheme="minorEastAsia" w:hAnsi="Arial" w:cs="Arial"/>
                <w:noProof/>
                <w:sz w:val="24"/>
                <w:szCs w:val="24"/>
                <w:lang w:val="en-US"/>
              </w:rPr>
              <w:tab/>
            </w:r>
            <w:r w:rsidR="00CB7E63" w:rsidRPr="00B71047">
              <w:rPr>
                <w:rStyle w:val="Hyperlink"/>
                <w:rFonts w:ascii="Arial" w:hAnsi="Arial" w:cs="Arial"/>
                <w:noProof/>
                <w:sz w:val="24"/>
                <w:szCs w:val="24"/>
                <w:u w:val="none"/>
              </w:rPr>
              <w:t>Weighting of the Components</w:t>
            </w:r>
            <w:r w:rsidR="00CB7E63" w:rsidRPr="00B71047">
              <w:rPr>
                <w:rFonts w:ascii="Arial" w:hAnsi="Arial" w:cs="Arial"/>
                <w:noProof/>
                <w:webHidden/>
                <w:sz w:val="24"/>
                <w:szCs w:val="24"/>
              </w:rPr>
              <w:tab/>
            </w:r>
            <w:r w:rsidR="00CB7E63" w:rsidRPr="00B71047">
              <w:rPr>
                <w:rFonts w:ascii="Arial" w:hAnsi="Arial" w:cs="Arial"/>
                <w:noProof/>
                <w:webHidden/>
                <w:sz w:val="24"/>
                <w:szCs w:val="24"/>
              </w:rPr>
              <w:fldChar w:fldCharType="begin"/>
            </w:r>
            <w:r w:rsidR="00CB7E63" w:rsidRPr="00B71047">
              <w:rPr>
                <w:rFonts w:ascii="Arial" w:hAnsi="Arial" w:cs="Arial"/>
                <w:noProof/>
                <w:webHidden/>
                <w:sz w:val="24"/>
                <w:szCs w:val="24"/>
              </w:rPr>
              <w:instrText xml:space="preserve"> PAGEREF _Toc149219681 \h </w:instrText>
            </w:r>
            <w:r w:rsidR="00CB7E63" w:rsidRPr="00B71047">
              <w:rPr>
                <w:rFonts w:ascii="Arial" w:hAnsi="Arial" w:cs="Arial"/>
                <w:noProof/>
                <w:webHidden/>
                <w:sz w:val="24"/>
                <w:szCs w:val="24"/>
              </w:rPr>
            </w:r>
            <w:r w:rsidR="00CB7E63" w:rsidRPr="00B71047">
              <w:rPr>
                <w:rFonts w:ascii="Arial" w:hAnsi="Arial" w:cs="Arial"/>
                <w:noProof/>
                <w:webHidden/>
                <w:sz w:val="24"/>
                <w:szCs w:val="24"/>
              </w:rPr>
              <w:fldChar w:fldCharType="separate"/>
            </w:r>
            <w:r w:rsidR="00CB7E63" w:rsidRPr="00B71047">
              <w:rPr>
                <w:rFonts w:ascii="Arial" w:hAnsi="Arial" w:cs="Arial"/>
                <w:noProof/>
                <w:webHidden/>
                <w:sz w:val="24"/>
                <w:szCs w:val="24"/>
              </w:rPr>
              <w:t>17</w:t>
            </w:r>
            <w:r w:rsidR="00CB7E63" w:rsidRPr="00B71047">
              <w:rPr>
                <w:rFonts w:ascii="Arial" w:hAnsi="Arial" w:cs="Arial"/>
                <w:noProof/>
                <w:webHidden/>
                <w:sz w:val="24"/>
                <w:szCs w:val="24"/>
              </w:rPr>
              <w:fldChar w:fldCharType="end"/>
            </w:r>
          </w:hyperlink>
        </w:p>
        <w:p w14:paraId="0A3A189D" w14:textId="40422500" w:rsidR="00CB7E63" w:rsidRPr="00B71047" w:rsidRDefault="002140D9">
          <w:pPr>
            <w:pStyle w:val="TOC2"/>
            <w:rPr>
              <w:rFonts w:eastAsiaTheme="minorEastAsia"/>
              <w:lang w:val="en-US"/>
            </w:rPr>
          </w:pPr>
          <w:hyperlink w:anchor="_Toc149219682" w:history="1">
            <w:r w:rsidR="00CB7E63" w:rsidRPr="00B71047">
              <w:rPr>
                <w:rStyle w:val="Hyperlink"/>
                <w:u w:val="none"/>
              </w:rPr>
              <w:t>2.</w:t>
            </w:r>
            <w:r w:rsidR="00CB7E63" w:rsidRPr="00B71047">
              <w:rPr>
                <w:rFonts w:eastAsiaTheme="minorEastAsia"/>
                <w:lang w:val="en-US"/>
              </w:rPr>
              <w:tab/>
            </w:r>
            <w:r w:rsidR="00CB7E63" w:rsidRPr="00B71047">
              <w:rPr>
                <w:rStyle w:val="Hyperlink"/>
                <w:u w:val="none"/>
              </w:rPr>
              <w:t>Calculation of the Index for Local Authorities</w:t>
            </w:r>
            <w:r w:rsidR="00CB7E63" w:rsidRPr="00B71047">
              <w:rPr>
                <w:webHidden/>
              </w:rPr>
              <w:tab/>
            </w:r>
            <w:r w:rsidR="00CB7E63" w:rsidRPr="00B71047">
              <w:rPr>
                <w:webHidden/>
              </w:rPr>
              <w:fldChar w:fldCharType="begin"/>
            </w:r>
            <w:r w:rsidR="00CB7E63" w:rsidRPr="00B71047">
              <w:rPr>
                <w:webHidden/>
              </w:rPr>
              <w:instrText xml:space="preserve"> PAGEREF _Toc149219682 \h </w:instrText>
            </w:r>
            <w:r w:rsidR="00CB7E63" w:rsidRPr="00B71047">
              <w:rPr>
                <w:webHidden/>
              </w:rPr>
            </w:r>
            <w:r w:rsidR="00CB7E63" w:rsidRPr="00B71047">
              <w:rPr>
                <w:webHidden/>
              </w:rPr>
              <w:fldChar w:fldCharType="separate"/>
            </w:r>
            <w:r w:rsidR="00CB7E63" w:rsidRPr="00B71047">
              <w:rPr>
                <w:webHidden/>
              </w:rPr>
              <w:t>17</w:t>
            </w:r>
            <w:r w:rsidR="00CB7E63" w:rsidRPr="00B71047">
              <w:rPr>
                <w:webHidden/>
              </w:rPr>
              <w:fldChar w:fldCharType="end"/>
            </w:r>
          </w:hyperlink>
        </w:p>
        <w:p w14:paraId="71CEF8E1" w14:textId="06828745" w:rsidR="00CB7E63" w:rsidRPr="00B71047" w:rsidRDefault="002140D9">
          <w:pPr>
            <w:pStyle w:val="TOC2"/>
            <w:rPr>
              <w:rFonts w:eastAsiaTheme="minorEastAsia"/>
              <w:lang w:val="en-US"/>
            </w:rPr>
          </w:pPr>
          <w:hyperlink w:anchor="_Toc149219683" w:history="1">
            <w:r w:rsidR="00CB7E63" w:rsidRPr="00B71047">
              <w:rPr>
                <w:rStyle w:val="Hyperlink"/>
                <w:u w:val="none"/>
              </w:rPr>
              <w:t>3.</w:t>
            </w:r>
            <w:r w:rsidR="00CB7E63" w:rsidRPr="00B71047">
              <w:rPr>
                <w:rFonts w:eastAsiaTheme="minorEastAsia"/>
                <w:lang w:val="en-US"/>
              </w:rPr>
              <w:tab/>
            </w:r>
            <w:r w:rsidR="00CB7E63" w:rsidRPr="00B71047">
              <w:rPr>
                <w:rStyle w:val="Hyperlink"/>
                <w:u w:val="none"/>
              </w:rPr>
              <w:t>Allocation Into Clusters</w:t>
            </w:r>
            <w:r w:rsidR="00CB7E63" w:rsidRPr="00B71047">
              <w:rPr>
                <w:webHidden/>
              </w:rPr>
              <w:tab/>
            </w:r>
            <w:r w:rsidR="00CB7E63" w:rsidRPr="00B71047">
              <w:rPr>
                <w:webHidden/>
              </w:rPr>
              <w:fldChar w:fldCharType="begin"/>
            </w:r>
            <w:r w:rsidR="00CB7E63" w:rsidRPr="00B71047">
              <w:rPr>
                <w:webHidden/>
              </w:rPr>
              <w:instrText xml:space="preserve"> PAGEREF _Toc149219683 \h </w:instrText>
            </w:r>
            <w:r w:rsidR="00CB7E63" w:rsidRPr="00B71047">
              <w:rPr>
                <w:webHidden/>
              </w:rPr>
            </w:r>
            <w:r w:rsidR="00CB7E63" w:rsidRPr="00B71047">
              <w:rPr>
                <w:webHidden/>
              </w:rPr>
              <w:fldChar w:fldCharType="separate"/>
            </w:r>
            <w:r w:rsidR="00CB7E63" w:rsidRPr="00B71047">
              <w:rPr>
                <w:webHidden/>
              </w:rPr>
              <w:t>18</w:t>
            </w:r>
            <w:r w:rsidR="00CB7E63" w:rsidRPr="00B71047">
              <w:rPr>
                <w:webHidden/>
              </w:rPr>
              <w:fldChar w:fldCharType="end"/>
            </w:r>
          </w:hyperlink>
        </w:p>
        <w:p w14:paraId="2C2EB245" w14:textId="312BDEE3" w:rsidR="00CB7E63" w:rsidRPr="00B71047" w:rsidRDefault="002140D9">
          <w:pPr>
            <w:pStyle w:val="TOC1"/>
            <w:tabs>
              <w:tab w:val="left" w:pos="440"/>
              <w:tab w:val="right" w:leader="underscore" w:pos="9060"/>
            </w:tabs>
            <w:rPr>
              <w:rFonts w:ascii="Arial" w:eastAsiaTheme="minorEastAsia" w:hAnsi="Arial" w:cs="Arial"/>
              <w:b w:val="0"/>
              <w:bCs w:val="0"/>
              <w:i w:val="0"/>
              <w:iCs w:val="0"/>
              <w:noProof/>
              <w:lang w:val="en-US"/>
            </w:rPr>
          </w:pPr>
          <w:hyperlink w:anchor="_Toc149219684" w:history="1">
            <w:r w:rsidR="00CB7E63" w:rsidRPr="00B71047">
              <w:rPr>
                <w:rStyle w:val="Hyperlink"/>
                <w:rFonts w:ascii="Arial" w:hAnsi="Arial" w:cs="Arial"/>
                <w:i w:val="0"/>
                <w:iCs w:val="0"/>
                <w:noProof/>
                <w:u w:val="none"/>
              </w:rPr>
              <w:t>E.</w:t>
            </w:r>
            <w:r w:rsidR="00CB7E63" w:rsidRPr="00B71047">
              <w:rPr>
                <w:rFonts w:ascii="Arial" w:eastAsiaTheme="minorEastAsia" w:hAnsi="Arial" w:cs="Arial"/>
                <w:b w:val="0"/>
                <w:bCs w:val="0"/>
                <w:i w:val="0"/>
                <w:iCs w:val="0"/>
                <w:noProof/>
                <w:lang w:val="en-US"/>
              </w:rPr>
              <w:tab/>
            </w:r>
            <w:r w:rsidR="00CB7E63" w:rsidRPr="00B71047">
              <w:rPr>
                <w:rStyle w:val="Hyperlink"/>
                <w:rFonts w:ascii="Arial" w:hAnsi="Arial" w:cs="Arial"/>
                <w:i w:val="0"/>
                <w:iCs w:val="0"/>
                <w:noProof/>
                <w:u w:val="none"/>
              </w:rPr>
              <w:t>Description of Attached Tables, Diagrams and Maps, and Summary</w:t>
            </w:r>
            <w:r w:rsidR="00CB7E63" w:rsidRPr="00B71047">
              <w:rPr>
                <w:rFonts w:ascii="Arial" w:hAnsi="Arial" w:cs="Arial"/>
                <w:i w:val="0"/>
                <w:iCs w:val="0"/>
                <w:noProof/>
                <w:webHidden/>
              </w:rPr>
              <w:tab/>
            </w:r>
            <w:r w:rsidR="00CB7E63" w:rsidRPr="00B71047">
              <w:rPr>
                <w:rFonts w:ascii="Arial" w:hAnsi="Arial" w:cs="Arial"/>
                <w:i w:val="0"/>
                <w:iCs w:val="0"/>
                <w:noProof/>
                <w:webHidden/>
              </w:rPr>
              <w:fldChar w:fldCharType="begin"/>
            </w:r>
            <w:r w:rsidR="00CB7E63" w:rsidRPr="00B71047">
              <w:rPr>
                <w:rFonts w:ascii="Arial" w:hAnsi="Arial" w:cs="Arial"/>
                <w:i w:val="0"/>
                <w:iCs w:val="0"/>
                <w:noProof/>
                <w:webHidden/>
              </w:rPr>
              <w:instrText xml:space="preserve"> PAGEREF _Toc149219684 \h </w:instrText>
            </w:r>
            <w:r w:rsidR="00CB7E63" w:rsidRPr="00B71047">
              <w:rPr>
                <w:rFonts w:ascii="Arial" w:hAnsi="Arial" w:cs="Arial"/>
                <w:i w:val="0"/>
                <w:iCs w:val="0"/>
                <w:noProof/>
                <w:webHidden/>
              </w:rPr>
            </w:r>
            <w:r w:rsidR="00CB7E63" w:rsidRPr="00B71047">
              <w:rPr>
                <w:rFonts w:ascii="Arial" w:hAnsi="Arial" w:cs="Arial"/>
                <w:i w:val="0"/>
                <w:iCs w:val="0"/>
                <w:noProof/>
                <w:webHidden/>
              </w:rPr>
              <w:fldChar w:fldCharType="separate"/>
            </w:r>
            <w:r w:rsidR="00CB7E63" w:rsidRPr="00B71047">
              <w:rPr>
                <w:rFonts w:ascii="Arial" w:hAnsi="Arial" w:cs="Arial"/>
                <w:i w:val="0"/>
                <w:iCs w:val="0"/>
                <w:noProof/>
                <w:webHidden/>
              </w:rPr>
              <w:t>22</w:t>
            </w:r>
            <w:r w:rsidR="00CB7E63" w:rsidRPr="00B71047">
              <w:rPr>
                <w:rFonts w:ascii="Arial" w:hAnsi="Arial" w:cs="Arial"/>
                <w:i w:val="0"/>
                <w:iCs w:val="0"/>
                <w:noProof/>
                <w:webHidden/>
              </w:rPr>
              <w:fldChar w:fldCharType="end"/>
            </w:r>
          </w:hyperlink>
        </w:p>
        <w:p w14:paraId="1679D583" w14:textId="000B7B75" w:rsidR="00CB7E63" w:rsidRPr="00B71047" w:rsidRDefault="002140D9">
          <w:pPr>
            <w:pStyle w:val="TOC2"/>
            <w:rPr>
              <w:rFonts w:eastAsiaTheme="minorEastAsia"/>
              <w:lang w:val="en-US"/>
            </w:rPr>
          </w:pPr>
          <w:hyperlink w:anchor="_Toc149219685" w:history="1">
            <w:r w:rsidR="00CB7E63" w:rsidRPr="00B71047">
              <w:rPr>
                <w:rStyle w:val="Hyperlink"/>
                <w:u w:val="none"/>
              </w:rPr>
              <w:t>1.</w:t>
            </w:r>
            <w:r w:rsidR="00CB7E63" w:rsidRPr="00B71047">
              <w:rPr>
                <w:rFonts w:eastAsiaTheme="minorEastAsia"/>
                <w:lang w:val="en-US"/>
              </w:rPr>
              <w:tab/>
            </w:r>
            <w:r w:rsidR="00CB7E63" w:rsidRPr="00B71047">
              <w:rPr>
                <w:rStyle w:val="Hyperlink"/>
                <w:u w:val="none"/>
              </w:rPr>
              <w:t>Description of Attached Tables, Diagrams, and Maps</w:t>
            </w:r>
            <w:r w:rsidR="00CB7E63" w:rsidRPr="00B71047">
              <w:rPr>
                <w:webHidden/>
              </w:rPr>
              <w:tab/>
            </w:r>
            <w:r w:rsidR="00CB7E63" w:rsidRPr="00B71047">
              <w:rPr>
                <w:webHidden/>
              </w:rPr>
              <w:fldChar w:fldCharType="begin"/>
            </w:r>
            <w:r w:rsidR="00CB7E63" w:rsidRPr="00B71047">
              <w:rPr>
                <w:webHidden/>
              </w:rPr>
              <w:instrText xml:space="preserve"> PAGEREF _Toc149219685 \h </w:instrText>
            </w:r>
            <w:r w:rsidR="00CB7E63" w:rsidRPr="00B71047">
              <w:rPr>
                <w:webHidden/>
              </w:rPr>
            </w:r>
            <w:r w:rsidR="00CB7E63" w:rsidRPr="00B71047">
              <w:rPr>
                <w:webHidden/>
              </w:rPr>
              <w:fldChar w:fldCharType="separate"/>
            </w:r>
            <w:r w:rsidR="00CB7E63" w:rsidRPr="00B71047">
              <w:rPr>
                <w:webHidden/>
              </w:rPr>
              <w:t>22</w:t>
            </w:r>
            <w:r w:rsidR="00CB7E63" w:rsidRPr="00B71047">
              <w:rPr>
                <w:webHidden/>
              </w:rPr>
              <w:fldChar w:fldCharType="end"/>
            </w:r>
          </w:hyperlink>
        </w:p>
        <w:p w14:paraId="5B00D143" w14:textId="7E4CB83C" w:rsidR="00CB7E63" w:rsidRPr="00B71047" w:rsidRDefault="002140D9">
          <w:pPr>
            <w:pStyle w:val="TOC2"/>
            <w:rPr>
              <w:rFonts w:eastAsiaTheme="minorEastAsia"/>
              <w:lang w:val="en-US"/>
            </w:rPr>
          </w:pPr>
          <w:hyperlink w:anchor="_Toc149219686" w:history="1">
            <w:r w:rsidR="00CB7E63" w:rsidRPr="00B71047">
              <w:rPr>
                <w:rStyle w:val="Hyperlink"/>
                <w:u w:val="none"/>
              </w:rPr>
              <w:t>2.</w:t>
            </w:r>
            <w:r w:rsidR="00CB7E63" w:rsidRPr="00B71047">
              <w:rPr>
                <w:rFonts w:eastAsiaTheme="minorEastAsia"/>
                <w:lang w:val="en-US"/>
              </w:rPr>
              <w:tab/>
            </w:r>
            <w:r w:rsidR="00CB7E63" w:rsidRPr="00B71047">
              <w:rPr>
                <w:rStyle w:val="Hyperlink"/>
                <w:u w:val="none"/>
              </w:rPr>
              <w:t>Summary and Forecast for Future</w:t>
            </w:r>
            <w:r w:rsidR="00CB7E63" w:rsidRPr="00B71047">
              <w:rPr>
                <w:webHidden/>
              </w:rPr>
              <w:tab/>
            </w:r>
            <w:r w:rsidR="00CB7E63" w:rsidRPr="00B71047">
              <w:rPr>
                <w:webHidden/>
              </w:rPr>
              <w:fldChar w:fldCharType="begin"/>
            </w:r>
            <w:r w:rsidR="00CB7E63" w:rsidRPr="00B71047">
              <w:rPr>
                <w:webHidden/>
              </w:rPr>
              <w:instrText xml:space="preserve"> PAGEREF _Toc149219686 \h </w:instrText>
            </w:r>
            <w:r w:rsidR="00CB7E63" w:rsidRPr="00B71047">
              <w:rPr>
                <w:webHidden/>
              </w:rPr>
            </w:r>
            <w:r w:rsidR="00CB7E63" w:rsidRPr="00B71047">
              <w:rPr>
                <w:webHidden/>
              </w:rPr>
              <w:fldChar w:fldCharType="separate"/>
            </w:r>
            <w:r w:rsidR="00CB7E63" w:rsidRPr="00B71047">
              <w:rPr>
                <w:webHidden/>
              </w:rPr>
              <w:t>23</w:t>
            </w:r>
            <w:r w:rsidR="00CB7E63" w:rsidRPr="00B71047">
              <w:rPr>
                <w:webHidden/>
              </w:rPr>
              <w:fldChar w:fldCharType="end"/>
            </w:r>
          </w:hyperlink>
        </w:p>
        <w:p w14:paraId="036BE6D7" w14:textId="07E5F675" w:rsidR="00DC3D01" w:rsidRPr="00B71047" w:rsidRDefault="002140D9" w:rsidP="005C6955">
          <w:pPr>
            <w:pStyle w:val="TOC1"/>
            <w:tabs>
              <w:tab w:val="left" w:pos="440"/>
              <w:tab w:val="right" w:leader="underscore" w:pos="9060"/>
            </w:tabs>
          </w:pPr>
          <w:hyperlink w:anchor="_Toc149219687" w:history="1">
            <w:r w:rsidR="00CB7E63" w:rsidRPr="00B71047">
              <w:rPr>
                <w:rStyle w:val="Hyperlink"/>
                <w:rFonts w:ascii="Arial" w:hAnsi="Arial" w:cs="Arial"/>
                <w:i w:val="0"/>
                <w:iCs w:val="0"/>
                <w:noProof/>
                <w:u w:val="none"/>
              </w:rPr>
              <w:t>F.</w:t>
            </w:r>
            <w:r w:rsidR="00CB7E63" w:rsidRPr="00B71047">
              <w:rPr>
                <w:rFonts w:ascii="Arial" w:eastAsiaTheme="minorEastAsia" w:hAnsi="Arial" w:cs="Arial"/>
                <w:b w:val="0"/>
                <w:bCs w:val="0"/>
                <w:i w:val="0"/>
                <w:iCs w:val="0"/>
                <w:noProof/>
                <w:lang w:val="en-US"/>
              </w:rPr>
              <w:tab/>
            </w:r>
            <w:r w:rsidR="00CB7E63" w:rsidRPr="00B71047">
              <w:rPr>
                <w:rStyle w:val="Hyperlink"/>
                <w:rFonts w:ascii="Arial" w:hAnsi="Arial" w:cs="Arial"/>
                <w:i w:val="0"/>
                <w:iCs w:val="0"/>
                <w:noProof/>
                <w:u w:val="none"/>
              </w:rPr>
              <w:t>Bibliography</w:t>
            </w:r>
            <w:r w:rsidR="00CB7E63" w:rsidRPr="00B71047">
              <w:rPr>
                <w:rFonts w:ascii="Arial" w:hAnsi="Arial" w:cs="Arial"/>
                <w:i w:val="0"/>
                <w:iCs w:val="0"/>
                <w:noProof/>
                <w:webHidden/>
              </w:rPr>
              <w:tab/>
            </w:r>
            <w:r w:rsidR="00CB7E63" w:rsidRPr="00B71047">
              <w:rPr>
                <w:rFonts w:ascii="Arial" w:hAnsi="Arial" w:cs="Arial"/>
                <w:i w:val="0"/>
                <w:iCs w:val="0"/>
                <w:noProof/>
                <w:webHidden/>
              </w:rPr>
              <w:fldChar w:fldCharType="begin"/>
            </w:r>
            <w:r w:rsidR="00CB7E63" w:rsidRPr="00B71047">
              <w:rPr>
                <w:rFonts w:ascii="Arial" w:hAnsi="Arial" w:cs="Arial"/>
                <w:i w:val="0"/>
                <w:iCs w:val="0"/>
                <w:noProof/>
                <w:webHidden/>
              </w:rPr>
              <w:instrText xml:space="preserve"> PAGEREF _Toc149219687 \h </w:instrText>
            </w:r>
            <w:r w:rsidR="00CB7E63" w:rsidRPr="00B71047">
              <w:rPr>
                <w:rFonts w:ascii="Arial" w:hAnsi="Arial" w:cs="Arial"/>
                <w:i w:val="0"/>
                <w:iCs w:val="0"/>
                <w:noProof/>
                <w:webHidden/>
              </w:rPr>
            </w:r>
            <w:r w:rsidR="00CB7E63" w:rsidRPr="00B71047">
              <w:rPr>
                <w:rFonts w:ascii="Arial" w:hAnsi="Arial" w:cs="Arial"/>
                <w:i w:val="0"/>
                <w:iCs w:val="0"/>
                <w:noProof/>
                <w:webHidden/>
              </w:rPr>
              <w:fldChar w:fldCharType="separate"/>
            </w:r>
            <w:r w:rsidR="00CB7E63" w:rsidRPr="00B71047">
              <w:rPr>
                <w:rFonts w:ascii="Arial" w:hAnsi="Arial" w:cs="Arial"/>
                <w:i w:val="0"/>
                <w:iCs w:val="0"/>
                <w:noProof/>
                <w:webHidden/>
              </w:rPr>
              <w:t>24</w:t>
            </w:r>
            <w:r w:rsidR="00CB7E63" w:rsidRPr="00B71047">
              <w:rPr>
                <w:rFonts w:ascii="Arial" w:hAnsi="Arial" w:cs="Arial"/>
                <w:i w:val="0"/>
                <w:iCs w:val="0"/>
                <w:noProof/>
                <w:webHidden/>
              </w:rPr>
              <w:fldChar w:fldCharType="end"/>
            </w:r>
          </w:hyperlink>
          <w:r w:rsidR="002F17FB" w:rsidRPr="00B71047">
            <w:rPr>
              <w:rFonts w:asciiTheme="minorBidi" w:hAnsiTheme="minorBidi"/>
              <w:b w:val="0"/>
              <w:i w:val="0"/>
            </w:rPr>
            <w:fldChar w:fldCharType="end"/>
          </w:r>
        </w:p>
      </w:sdtContent>
    </w:sdt>
    <w:p w14:paraId="15E7F14E" w14:textId="77777777" w:rsidR="00024957" w:rsidRPr="000B3846" w:rsidRDefault="00024957" w:rsidP="00013FC3">
      <w:pPr>
        <w:pStyle w:val="1"/>
        <w:pageBreakBefore/>
      </w:pPr>
      <w:bookmarkStart w:id="1" w:name="_Toc127808115"/>
      <w:bookmarkStart w:id="2" w:name="_Toc371413"/>
      <w:bookmarkStart w:id="3" w:name="_Toc149219659"/>
      <w:r w:rsidRPr="000B3846">
        <w:lastRenderedPageBreak/>
        <w:t>General</w:t>
      </w:r>
      <w:bookmarkEnd w:id="1"/>
      <w:bookmarkEnd w:id="2"/>
      <w:bookmarkEnd w:id="3"/>
    </w:p>
    <w:p w14:paraId="7E210AE2" w14:textId="77777777" w:rsidR="004C7E4B" w:rsidRPr="00832223" w:rsidRDefault="004C7E4B" w:rsidP="00832223">
      <w:pPr>
        <w:pStyle w:val="body"/>
      </w:pPr>
      <w:bookmarkStart w:id="4" w:name="_Toc127808116"/>
      <w:r w:rsidRPr="00DC3D01">
        <w:t xml:space="preserve">The </w:t>
      </w:r>
      <w:r w:rsidR="00E5087E" w:rsidRPr="00DC3D01">
        <w:t>Peripherality Index</w:t>
      </w:r>
      <w:r w:rsidR="00A94A6E" w:rsidRPr="00DC3D01">
        <w:t xml:space="preserve"> </w:t>
      </w:r>
      <w:r w:rsidR="009271C4" w:rsidRPr="00DC3D01">
        <w:t xml:space="preserve">described in this publication characterizes localities and local authorities in Israel </w:t>
      </w:r>
      <w:r w:rsidR="00681B4D" w:rsidRPr="00DC3D01">
        <w:t>by geographic location</w:t>
      </w:r>
      <w:r w:rsidR="009271C4" w:rsidRPr="00DC3D01">
        <w:t xml:space="preserve">, relative to population concentrations and centres of economic activity in the country. This characterization allows comparisons among various regions according to their development potentials. It is assumed that regions </w:t>
      </w:r>
      <w:r w:rsidR="00C75FA2" w:rsidRPr="00DC3D01">
        <w:t>with high accessibility to centres of economic activity are more creative and competitive, and therefore also more attractive to investors and migrants compared to more distant and isolated regions.</w:t>
      </w:r>
      <w:bookmarkEnd w:id="4"/>
    </w:p>
    <w:p w14:paraId="54AB803A" w14:textId="634BFBC7" w:rsidR="00C75FA2" w:rsidRPr="00DE2A44" w:rsidRDefault="00C75FA2" w:rsidP="00767BBD">
      <w:pPr>
        <w:pStyle w:val="body"/>
      </w:pPr>
      <w:r w:rsidRPr="00DE2A44">
        <w:t xml:space="preserve">The </w:t>
      </w:r>
      <w:r w:rsidR="00A94A6E" w:rsidRPr="00DE2A44">
        <w:t>Peripherality Index</w:t>
      </w:r>
      <w:r w:rsidR="00681B4D" w:rsidRPr="00DE2A44">
        <w:t xml:space="preserve"> 20</w:t>
      </w:r>
      <w:r w:rsidR="0000077A">
        <w:t>20</w:t>
      </w:r>
      <w:r w:rsidR="00681B4D" w:rsidRPr="00DE2A44">
        <w:t xml:space="preserve"> </w:t>
      </w:r>
      <w:r w:rsidR="0000077A" w:rsidRPr="00DE2A44">
        <w:t xml:space="preserve">was constructed </w:t>
      </w:r>
      <w:r w:rsidR="0000077A" w:rsidRPr="007D064C">
        <w:rPr>
          <w:b/>
        </w:rPr>
        <w:t>at the level of locality</w:t>
      </w:r>
      <w:r w:rsidR="0000077A" w:rsidRPr="00767BBD">
        <w:rPr>
          <w:b/>
          <w:bCs/>
        </w:rPr>
        <w:t xml:space="preserve"> and at the level of </w:t>
      </w:r>
      <w:r w:rsidR="0000077A" w:rsidRPr="007D064C">
        <w:rPr>
          <w:b/>
        </w:rPr>
        <w:t xml:space="preserve">local </w:t>
      </w:r>
      <w:r w:rsidR="0000077A" w:rsidRPr="00767BBD">
        <w:rPr>
          <w:b/>
          <w:bCs/>
        </w:rPr>
        <w:t>authority,</w:t>
      </w:r>
      <w:r w:rsidR="0000077A" w:rsidRPr="007D064C">
        <w:rPr>
          <w:b/>
        </w:rPr>
        <w:t xml:space="preserve"> </w:t>
      </w:r>
      <w:r w:rsidR="0000077A" w:rsidRPr="00767BBD">
        <w:t xml:space="preserve">and </w:t>
      </w:r>
      <w:r w:rsidR="00767BBD" w:rsidRPr="00767BBD">
        <w:t>employed</w:t>
      </w:r>
      <w:r w:rsidR="00767BBD" w:rsidRPr="00767BBD">
        <w:rPr>
          <w:b/>
          <w:bCs/>
        </w:rPr>
        <w:t xml:space="preserve"> the same methodology and the same parameters used to derive the previous index</w:t>
      </w:r>
      <w:r w:rsidR="00767BBD">
        <w:t xml:space="preserve"> (</w:t>
      </w:r>
      <w:r w:rsidR="00767BBD" w:rsidRPr="00DE2A44">
        <w:t>the Peripherality Index 20</w:t>
      </w:r>
      <w:r w:rsidR="00767BBD">
        <w:t>15).</w:t>
      </w:r>
    </w:p>
    <w:p w14:paraId="52632249" w14:textId="77777777" w:rsidR="00C75FA2" w:rsidRPr="00DE2A44" w:rsidRDefault="002E6CA4" w:rsidP="00DE2A44">
      <w:pPr>
        <w:pStyle w:val="body"/>
      </w:pPr>
      <w:r w:rsidRPr="00DE2A44">
        <w:t xml:space="preserve">The index was constructed under the advisement of a steering committee that included representatives of academia, government </w:t>
      </w:r>
      <w:r w:rsidR="00057F45" w:rsidRPr="00DE2A44">
        <w:t>ministries</w:t>
      </w:r>
      <w:r w:rsidRPr="00DE2A44">
        <w:t>, local authorities, and various research bodies.</w:t>
      </w:r>
    </w:p>
    <w:p w14:paraId="402735F8" w14:textId="77777777" w:rsidR="002E6CA4" w:rsidRPr="00BF1934" w:rsidRDefault="002E6CA4" w:rsidP="0008683D">
      <w:pPr>
        <w:pStyle w:val="2"/>
        <w:spacing w:before="360" w:after="240"/>
        <w:ind w:left="357" w:hanging="357"/>
      </w:pPr>
      <w:bookmarkStart w:id="5" w:name="_Toc127808117"/>
      <w:bookmarkStart w:id="6" w:name="_Toc371414"/>
      <w:bookmarkStart w:id="7" w:name="_Toc149219660"/>
      <w:r w:rsidRPr="00BF1934">
        <w:t>Definition and Method of Calculation</w:t>
      </w:r>
      <w:bookmarkEnd w:id="5"/>
      <w:bookmarkEnd w:id="6"/>
      <w:bookmarkEnd w:id="7"/>
    </w:p>
    <w:p w14:paraId="3B4E30B4" w14:textId="77777777" w:rsidR="002E6CA4" w:rsidRPr="00DE2A44" w:rsidRDefault="002E6CA4" w:rsidP="00DE2A44">
      <w:pPr>
        <w:pStyle w:val="body"/>
      </w:pPr>
      <w:r w:rsidRPr="00EA03D7">
        <w:rPr>
          <w:b/>
          <w:bCs/>
        </w:rPr>
        <w:t>A peripheral region is defined as a region distant from opportunities</w:t>
      </w:r>
      <w:r w:rsidRPr="00DE2A44">
        <w:t xml:space="preserve"> (e.g., markets, jobs, and health services), </w:t>
      </w:r>
      <w:r w:rsidRPr="00EA03D7">
        <w:rPr>
          <w:b/>
          <w:bCs/>
        </w:rPr>
        <w:t>activities</w:t>
      </w:r>
      <w:r w:rsidRPr="00DE2A44">
        <w:t xml:space="preserve"> (e.g., work, education, shopping, and leisure), </w:t>
      </w:r>
      <w:r w:rsidRPr="00EA03D7">
        <w:rPr>
          <w:b/>
          <w:bCs/>
        </w:rPr>
        <w:t>or assets existing in all the regions, including the given region itself</w:t>
      </w:r>
      <w:r w:rsidRPr="00DE2A44">
        <w:t xml:space="preserve">. </w:t>
      </w:r>
      <w:r w:rsidR="00057F45" w:rsidRPr="00DE2A44">
        <w:t xml:space="preserve">The </w:t>
      </w:r>
      <w:r w:rsidR="00A94A6E" w:rsidRPr="00DE2A44">
        <w:t>Peripherality Index</w:t>
      </w:r>
      <w:r w:rsidR="00057F45" w:rsidRPr="00DE2A44">
        <w:t xml:space="preserve"> brought here was constructed according to this definition, with the goal of characterizing the localities and the local authoriti</w:t>
      </w:r>
      <w:r w:rsidR="00681B4D" w:rsidRPr="00DE2A44">
        <w:t>es by geographic location</w:t>
      </w:r>
      <w:r w:rsidR="00057F45" w:rsidRPr="00DE2A44">
        <w:t>, ranging from the most peripheral to the most central.</w:t>
      </w:r>
    </w:p>
    <w:p w14:paraId="41AF396A" w14:textId="2447EB0F" w:rsidR="00057F45" w:rsidRPr="00DE2A44" w:rsidRDefault="00057F45" w:rsidP="007C19EC">
      <w:pPr>
        <w:pStyle w:val="body"/>
      </w:pPr>
      <w:r w:rsidRPr="00EA03D7">
        <w:rPr>
          <w:b/>
          <w:bCs/>
        </w:rPr>
        <w:t xml:space="preserve">The value of the </w:t>
      </w:r>
      <w:r w:rsidR="008466EB" w:rsidRPr="00EA03D7">
        <w:rPr>
          <w:b/>
          <w:bCs/>
        </w:rPr>
        <w:t>Peripherality Index 20</w:t>
      </w:r>
      <w:r w:rsidR="00BE0C56" w:rsidRPr="00EA03D7">
        <w:rPr>
          <w:b/>
          <w:bCs/>
        </w:rPr>
        <w:t>20</w:t>
      </w:r>
      <w:r w:rsidRPr="00EA03D7">
        <w:rPr>
          <w:b/>
          <w:bCs/>
        </w:rPr>
        <w:t xml:space="preserve"> for a locality</w:t>
      </w:r>
      <w:r w:rsidR="001A4415" w:rsidRPr="00DE2A44">
        <w:t xml:space="preserve"> wa</w:t>
      </w:r>
      <w:r w:rsidRPr="00DE2A44">
        <w:t xml:space="preserve">s calculated </w:t>
      </w:r>
      <w:r w:rsidR="007C19EC">
        <w:t xml:space="preserve">as </w:t>
      </w:r>
      <w:r w:rsidRPr="00DE2A44">
        <w:t>a weighted total of the standardized values of two components: the potential accessibility index (2/3 weight) and proximity to the boundary of the Tel Aviv District (1/3 weight).</w:t>
      </w:r>
    </w:p>
    <w:p w14:paraId="7A3A710B" w14:textId="761160E8" w:rsidR="00057F45" w:rsidRPr="00DE2A44" w:rsidRDefault="00057F45" w:rsidP="00230FB8">
      <w:pPr>
        <w:pStyle w:val="body"/>
        <w:numPr>
          <w:ilvl w:val="0"/>
          <w:numId w:val="1"/>
        </w:numPr>
        <w:ind w:left="357" w:hanging="357"/>
      </w:pPr>
      <w:r w:rsidRPr="00DE2A44">
        <w:rPr>
          <w:b/>
          <w:bCs/>
        </w:rPr>
        <w:t>The potential accessibility index</w:t>
      </w:r>
      <w:r w:rsidR="0021481B" w:rsidRPr="00DE2A44">
        <w:t>, which</w:t>
      </w:r>
      <w:r w:rsidRPr="00DE2A44">
        <w:t xml:space="preserve"> is calculated according to the </w:t>
      </w:r>
      <w:r w:rsidR="0021481B" w:rsidRPr="00DE2A44">
        <w:t xml:space="preserve">gravity model, reflects the proximity of the given locality to each of the localities in Israel weighted by the size of their populations, </w:t>
      </w:r>
      <w:r w:rsidR="00FB2AE6" w:rsidRPr="00DE2A44">
        <w:t>with</w:t>
      </w:r>
      <w:r w:rsidR="0021481B" w:rsidRPr="00DE2A44">
        <w:t xml:space="preserve"> the </w:t>
      </w:r>
      <w:r w:rsidR="00FB2AE6" w:rsidRPr="00DE2A44">
        <w:t>size of the population indicating</w:t>
      </w:r>
      <w:r w:rsidR="0021481B" w:rsidRPr="00DE2A44">
        <w:t xml:space="preserve"> the </w:t>
      </w:r>
      <w:r w:rsidR="00A9264D" w:rsidRPr="00DE2A44">
        <w:t>intensity</w:t>
      </w:r>
      <w:r w:rsidR="0021481B" w:rsidRPr="00DE2A44">
        <w:t xml:space="preserve"> of the opportunities, activities, and assets in each locality.</w:t>
      </w:r>
    </w:p>
    <w:p w14:paraId="2F0FB586" w14:textId="77777777" w:rsidR="0021481B" w:rsidRPr="00DE2A44" w:rsidRDefault="0021481B" w:rsidP="00230FB8">
      <w:pPr>
        <w:pStyle w:val="body"/>
        <w:numPr>
          <w:ilvl w:val="0"/>
          <w:numId w:val="1"/>
        </w:numPr>
        <w:ind w:left="357" w:hanging="357"/>
      </w:pPr>
      <w:r w:rsidRPr="00DE2A44">
        <w:rPr>
          <w:b/>
          <w:bCs/>
        </w:rPr>
        <w:t xml:space="preserve">The proximity to the boundary of the Tel Aviv District </w:t>
      </w:r>
      <w:r w:rsidRPr="00DE2A44">
        <w:t xml:space="preserve">is calculated as the distance from the boundary of the Tel Aviv District multiplied by (-1), and reflects the monocentric structure of Israel, </w:t>
      </w:r>
      <w:r w:rsidR="00691223" w:rsidRPr="00DE2A44">
        <w:t>w</w:t>
      </w:r>
      <w:r w:rsidRPr="00DE2A44">
        <w:t>h</w:t>
      </w:r>
      <w:r w:rsidR="00681B4D" w:rsidRPr="00DE2A44">
        <w:t>ere</w:t>
      </w:r>
      <w:r w:rsidRPr="00DE2A44">
        <w:t xml:space="preserve"> the Tel Aviv District constitutes an economic and business centre.</w:t>
      </w:r>
    </w:p>
    <w:p w14:paraId="08B39958" w14:textId="13BFA8E8" w:rsidR="003E331E" w:rsidRPr="00DE2A44" w:rsidRDefault="003E331E" w:rsidP="00BE0C56">
      <w:pPr>
        <w:pStyle w:val="body"/>
      </w:pPr>
      <w:r w:rsidRPr="00DE2A44">
        <w:t xml:space="preserve">The distances in each </w:t>
      </w:r>
      <w:r w:rsidR="00681B4D" w:rsidRPr="00DE2A44">
        <w:t>of the components of the index we</w:t>
      </w:r>
      <w:r w:rsidR="00D57441" w:rsidRPr="00DE2A44">
        <w:t>re calculated</w:t>
      </w:r>
      <w:r w:rsidRPr="00DE2A44">
        <w:t xml:space="preserve"> </w:t>
      </w:r>
      <w:r w:rsidR="00FB2AE6" w:rsidRPr="00DE2A44">
        <w:t>as</w:t>
      </w:r>
      <w:r w:rsidRPr="00DE2A44">
        <w:t xml:space="preserve"> the shortest distance over the road network (updated to </w:t>
      </w:r>
      <w:r w:rsidR="00BE0C56">
        <w:t>December</w:t>
      </w:r>
      <w:r w:rsidRPr="00DE2A44">
        <w:t xml:space="preserve"> 20</w:t>
      </w:r>
      <w:r w:rsidR="00BE0C56">
        <w:t>20</w:t>
      </w:r>
      <w:r w:rsidRPr="00DE2A44">
        <w:t>) under constraint</w:t>
      </w:r>
      <w:r w:rsidR="00FB2AE6" w:rsidRPr="00DE2A44">
        <w:t>s</w:t>
      </w:r>
      <w:r w:rsidRPr="00DE2A44">
        <w:t xml:space="preserve"> of roads closed </w:t>
      </w:r>
      <w:r w:rsidR="00FB2AE6" w:rsidRPr="00DE2A44">
        <w:t>due to</w:t>
      </w:r>
      <w:r w:rsidRPr="00DE2A44">
        <w:t xml:space="preserve"> construction or security reasons.</w:t>
      </w:r>
    </w:p>
    <w:p w14:paraId="6D0E7944" w14:textId="77777777" w:rsidR="003E331E" w:rsidRPr="00DE2A44" w:rsidRDefault="003E331E" w:rsidP="00DE2A44">
      <w:pPr>
        <w:pStyle w:val="body"/>
      </w:pPr>
      <w:r w:rsidRPr="00DE2A44">
        <w:lastRenderedPageBreak/>
        <w:t>The lowest value of the index indicates the most peripheral locality, and the highest value indicates the most central locality.</w:t>
      </w:r>
    </w:p>
    <w:p w14:paraId="5F4F1DA9" w14:textId="3ABF933D" w:rsidR="00CD0C08" w:rsidRPr="00DE2A44" w:rsidRDefault="00CD0C08" w:rsidP="00C67B86">
      <w:pPr>
        <w:pStyle w:val="body"/>
      </w:pPr>
      <w:r w:rsidRPr="00DE2A44">
        <w:t xml:space="preserve">The </w:t>
      </w:r>
      <w:r w:rsidRPr="00DE2A44">
        <w:rPr>
          <w:b/>
          <w:bCs/>
        </w:rPr>
        <w:t xml:space="preserve">value of the </w:t>
      </w:r>
      <w:r w:rsidR="008466EB" w:rsidRPr="00DE2A44">
        <w:rPr>
          <w:b/>
          <w:bCs/>
        </w:rPr>
        <w:t>Peripherality Index 20</w:t>
      </w:r>
      <w:r w:rsidR="00C67B86">
        <w:rPr>
          <w:b/>
          <w:bCs/>
        </w:rPr>
        <w:t>20</w:t>
      </w:r>
      <w:r w:rsidRPr="00DE2A44">
        <w:rPr>
          <w:b/>
          <w:bCs/>
        </w:rPr>
        <w:t xml:space="preserve"> of local authorities</w:t>
      </w:r>
      <w:r w:rsidRPr="00DE2A44">
        <w:t xml:space="preserve"> is the value of the index of a municipality, local council, or regional council, as obtained from the index of localities. The value of the </w:t>
      </w:r>
      <w:r w:rsidR="00A94A6E" w:rsidRPr="00DE2A44">
        <w:t>Peripherality Index</w:t>
      </w:r>
      <w:r w:rsidR="00A6533B" w:rsidRPr="00DE2A44">
        <w:t xml:space="preserve"> of a regional council wa</w:t>
      </w:r>
      <w:r w:rsidRPr="00DE2A44">
        <w:t>s calculated as the average of the values of the indices for the localities in the council, weighted by the</w:t>
      </w:r>
      <w:r w:rsidR="00C456BC">
        <w:t>ir</w:t>
      </w:r>
      <w:r w:rsidRPr="00DE2A44">
        <w:t xml:space="preserve"> </w:t>
      </w:r>
      <w:r w:rsidR="00E916B0" w:rsidRPr="00DE2A44">
        <w:t xml:space="preserve">population </w:t>
      </w:r>
      <w:r w:rsidRPr="00DE2A44">
        <w:t>size.</w:t>
      </w:r>
    </w:p>
    <w:p w14:paraId="7931D540" w14:textId="62806586" w:rsidR="00787ADF" w:rsidRPr="00DE2A44" w:rsidRDefault="00D5738A" w:rsidP="00DE2A44">
      <w:pPr>
        <w:pStyle w:val="body"/>
      </w:pPr>
      <w:r w:rsidRPr="00DE2A44">
        <w:t xml:space="preserve">The </w:t>
      </w:r>
      <w:r w:rsidRPr="00DE2A44">
        <w:rPr>
          <w:b/>
          <w:bCs/>
        </w:rPr>
        <w:t xml:space="preserve">local authorities were divided into 10 homogeneous groups (clusters) </w:t>
      </w:r>
      <w:r w:rsidRPr="00DE2A44">
        <w:t xml:space="preserve">unequal in size, according to the values of their peripherality indices. The division was performed </w:t>
      </w:r>
      <w:r w:rsidR="004F7DD8" w:rsidRPr="00DE2A44">
        <w:t xml:space="preserve">by </w:t>
      </w:r>
      <w:r w:rsidRPr="00DE2A44">
        <w:t xml:space="preserve">use of the hierarchical cluster analysis method, such that for a given number of clusters, the variance of the index values within the clusters </w:t>
      </w:r>
      <w:r w:rsidR="004F7DD8" w:rsidRPr="00DE2A44">
        <w:t>was minimized</w:t>
      </w:r>
      <w:r w:rsidRPr="00DE2A44">
        <w:t xml:space="preserve">, and the variance between </w:t>
      </w:r>
      <w:r w:rsidR="004F7DD8" w:rsidRPr="00DE2A44">
        <w:t xml:space="preserve">the </w:t>
      </w:r>
      <w:r w:rsidRPr="00DE2A44">
        <w:t xml:space="preserve">clusters </w:t>
      </w:r>
      <w:r w:rsidR="004F7DD8" w:rsidRPr="00DE2A44">
        <w:t>was maximized</w:t>
      </w:r>
      <w:r w:rsidRPr="00DE2A44">
        <w:t xml:space="preserve">. Cluster 1 contains the most peripheral authorities, and Cluster 10 contains the most central </w:t>
      </w:r>
      <w:r w:rsidR="004F7DD8" w:rsidRPr="00DE2A44">
        <w:t>authorities</w:t>
      </w:r>
      <w:r w:rsidRPr="00DE2A44">
        <w:t>.</w:t>
      </w:r>
    </w:p>
    <w:p w14:paraId="07CEF7EE" w14:textId="77777777" w:rsidR="00D5738A" w:rsidRPr="00DE2A44" w:rsidRDefault="00D5738A" w:rsidP="00DE2A44">
      <w:pPr>
        <w:pStyle w:val="body"/>
      </w:pPr>
      <w:r w:rsidRPr="00DE2A44">
        <w:t>The l</w:t>
      </w:r>
      <w:r w:rsidRPr="00DE2A44">
        <w:rPr>
          <w:b/>
          <w:bCs/>
        </w:rPr>
        <w:t xml:space="preserve">ocalities within the regional </w:t>
      </w:r>
      <w:r w:rsidR="00B153A3" w:rsidRPr="00DE2A44">
        <w:rPr>
          <w:b/>
          <w:bCs/>
        </w:rPr>
        <w:t>councils</w:t>
      </w:r>
      <w:r w:rsidRPr="00DE2A44">
        <w:rPr>
          <w:b/>
          <w:bCs/>
        </w:rPr>
        <w:t xml:space="preserve"> were classified into</w:t>
      </w:r>
      <w:r w:rsidR="00B153A3" w:rsidRPr="00DE2A44">
        <w:rPr>
          <w:b/>
          <w:bCs/>
        </w:rPr>
        <w:t xml:space="preserve"> 10 clusters</w:t>
      </w:r>
      <w:r w:rsidR="00B153A3" w:rsidRPr="00DE2A44">
        <w:t xml:space="preserve"> according to the values of their peripherality indices and according to the boundaries of the local authority clusters.</w:t>
      </w:r>
    </w:p>
    <w:p w14:paraId="2A0A2CB8" w14:textId="77777777" w:rsidR="00B153A3" w:rsidRPr="009D5E35" w:rsidRDefault="00B153A3" w:rsidP="0008683D">
      <w:pPr>
        <w:pStyle w:val="2"/>
        <w:spacing w:before="240" w:after="240"/>
        <w:ind w:left="357" w:hanging="357"/>
      </w:pPr>
      <w:bookmarkStart w:id="8" w:name="_Toc127808118"/>
      <w:bookmarkStart w:id="9" w:name="_Toc371415"/>
      <w:bookmarkStart w:id="10" w:name="_Toc149219661"/>
      <w:r w:rsidRPr="009D5E35">
        <w:t xml:space="preserve">Stages of </w:t>
      </w:r>
      <w:r w:rsidRPr="00DE2A44">
        <w:t>the</w:t>
      </w:r>
      <w:r w:rsidRPr="009D5E35">
        <w:t xml:space="preserve"> Research</w:t>
      </w:r>
      <w:bookmarkEnd w:id="8"/>
      <w:bookmarkEnd w:id="9"/>
      <w:bookmarkEnd w:id="10"/>
    </w:p>
    <w:p w14:paraId="63625EB7" w14:textId="77777777" w:rsidR="00B153A3" w:rsidRPr="009D5E35" w:rsidRDefault="00C67B86" w:rsidP="007D064C">
      <w:pPr>
        <w:pStyle w:val="body"/>
      </w:pPr>
      <w:r>
        <w:t xml:space="preserve">The Peripherality Index 2020 is based on the results of the research performed for the construction of the </w:t>
      </w:r>
      <w:r w:rsidR="00461347">
        <w:t xml:space="preserve">Peripherality Indices </w:t>
      </w:r>
      <w:r w:rsidR="00943063">
        <w:t>of</w:t>
      </w:r>
      <w:r w:rsidR="00943063" w:rsidRPr="009D5E35">
        <w:t xml:space="preserve"> the Central Bureau of Statistics</w:t>
      </w:r>
      <w:r w:rsidR="00943063">
        <w:t xml:space="preserve"> </w:t>
      </w:r>
      <w:r w:rsidR="00461347">
        <w:t xml:space="preserve">for the years 2004 and 2015. </w:t>
      </w:r>
      <w:r w:rsidR="00B153A3" w:rsidRPr="009D5E35">
        <w:t>The research included 6 main stages:</w:t>
      </w:r>
    </w:p>
    <w:p w14:paraId="4FD88472" w14:textId="67AD6604" w:rsidR="00B153A3" w:rsidRPr="009D5E35" w:rsidRDefault="00B153A3" w:rsidP="007D064C">
      <w:pPr>
        <w:pStyle w:val="body"/>
        <w:numPr>
          <w:ilvl w:val="0"/>
          <w:numId w:val="27"/>
        </w:numPr>
        <w:ind w:left="284"/>
      </w:pPr>
      <w:r w:rsidRPr="009D5E35">
        <w:t xml:space="preserve">Review of the international literature on the measurement of peripherality </w:t>
      </w:r>
      <w:r w:rsidR="00FB2AE6">
        <w:t>(see Section 4 in this Chapter);</w:t>
      </w:r>
    </w:p>
    <w:p w14:paraId="405DEDD1" w14:textId="79314A59" w:rsidR="00B153A3" w:rsidRPr="009D5E35" w:rsidRDefault="00B153A3" w:rsidP="007D064C">
      <w:pPr>
        <w:pStyle w:val="body"/>
        <w:numPr>
          <w:ilvl w:val="0"/>
          <w:numId w:val="27"/>
        </w:numPr>
        <w:ind w:left="284"/>
      </w:pPr>
      <w:r w:rsidRPr="009D5E35">
        <w:t>Selection of a basic model for calculati</w:t>
      </w:r>
      <w:r w:rsidR="004F7DD8">
        <w:t>ng</w:t>
      </w:r>
      <w:r w:rsidRPr="009D5E35">
        <w:t xml:space="preserve"> the </w:t>
      </w:r>
      <w:r w:rsidR="00A94A6E">
        <w:t>Peripherality Index</w:t>
      </w:r>
      <w:r w:rsidR="00E916B0">
        <w:t xml:space="preserve"> (see description in Chapter C</w:t>
      </w:r>
      <w:r w:rsidR="00FB2AE6">
        <w:t>);</w:t>
      </w:r>
    </w:p>
    <w:p w14:paraId="6E79540C" w14:textId="1B1147F3" w:rsidR="00B153A3" w:rsidRPr="009D5E35" w:rsidRDefault="00B153A3" w:rsidP="007D064C">
      <w:pPr>
        <w:pStyle w:val="body"/>
        <w:numPr>
          <w:ilvl w:val="0"/>
          <w:numId w:val="27"/>
        </w:numPr>
        <w:ind w:left="284"/>
      </w:pPr>
      <w:r w:rsidRPr="009D5E35">
        <w:t xml:space="preserve">Construction of the </w:t>
      </w:r>
      <w:r w:rsidR="004F7DD8">
        <w:t>base</w:t>
      </w:r>
      <w:r w:rsidR="006D1A1F">
        <w:t xml:space="preserve"> for</w:t>
      </w:r>
      <w:r w:rsidR="006B1936" w:rsidRPr="009D5E35">
        <w:t xml:space="preserve"> </w:t>
      </w:r>
      <w:r w:rsidR="004F7DD8">
        <w:t xml:space="preserve">calculating </w:t>
      </w:r>
      <w:r w:rsidR="006A49FE" w:rsidRPr="009D5E35">
        <w:t>the distances between the geographic uni</w:t>
      </w:r>
      <w:r w:rsidR="006B1936" w:rsidRPr="009D5E35">
        <w:t>t</w:t>
      </w:r>
      <w:r w:rsidR="006A49FE" w:rsidRPr="009D5E35">
        <w:t>s</w:t>
      </w:r>
      <w:r w:rsidRPr="009D5E35">
        <w:t xml:space="preserve"> </w:t>
      </w:r>
      <w:r w:rsidR="00E916B0">
        <w:t>(see details in Chapter D</w:t>
      </w:r>
      <w:r w:rsidR="00DD7E63">
        <w:t>);</w:t>
      </w:r>
    </w:p>
    <w:p w14:paraId="3F9A4A7E" w14:textId="41848333" w:rsidR="006B1936" w:rsidRPr="009D5E35" w:rsidRDefault="006B1936" w:rsidP="007D064C">
      <w:pPr>
        <w:pStyle w:val="body"/>
        <w:numPr>
          <w:ilvl w:val="0"/>
          <w:numId w:val="27"/>
        </w:numPr>
        <w:ind w:left="284"/>
      </w:pPr>
      <w:r w:rsidRPr="009D5E35">
        <w:t xml:space="preserve">Examination of the </w:t>
      </w:r>
      <w:r w:rsidR="004F7DD8">
        <w:t xml:space="preserve">data </w:t>
      </w:r>
      <w:r w:rsidRPr="009D5E35">
        <w:t xml:space="preserve">sources </w:t>
      </w:r>
      <w:r w:rsidR="004F7DD8">
        <w:t>for estimating</w:t>
      </w:r>
      <w:r w:rsidRPr="009D5E35">
        <w:t xml:space="preserve"> the parameters in the potential accessibility</w:t>
      </w:r>
      <w:r w:rsidR="004F7DD8">
        <w:t xml:space="preserve"> </w:t>
      </w:r>
      <w:r w:rsidR="004F7DD8" w:rsidRPr="009D5E35">
        <w:t>index</w:t>
      </w:r>
      <w:r w:rsidR="00367C88" w:rsidRPr="009D5E35">
        <w:t xml:space="preserve">, </w:t>
      </w:r>
      <w:r w:rsidR="006D1A1F">
        <w:t>planning</w:t>
      </w:r>
      <w:r w:rsidR="00367C88" w:rsidRPr="009D5E35">
        <w:t xml:space="preserve"> of the estimation process, </w:t>
      </w:r>
      <w:r w:rsidR="00B929B8">
        <w:t xml:space="preserve">and </w:t>
      </w:r>
      <w:r w:rsidR="00367C88" w:rsidRPr="009D5E35">
        <w:t>comparison of the obtained results based on the various sources. A summary of this process is pr</w:t>
      </w:r>
      <w:r w:rsidR="00E916B0">
        <w:t>esented in Chapter C</w:t>
      </w:r>
      <w:r w:rsidR="00DD7E63">
        <w:t>, Section 2;</w:t>
      </w:r>
    </w:p>
    <w:p w14:paraId="1D28A09D" w14:textId="4E719ADB" w:rsidR="00367C88" w:rsidRPr="009D5E35" w:rsidRDefault="00367C88" w:rsidP="007D064C">
      <w:pPr>
        <w:pStyle w:val="body"/>
        <w:numPr>
          <w:ilvl w:val="0"/>
          <w:numId w:val="27"/>
        </w:numPr>
        <w:ind w:left="284"/>
      </w:pPr>
      <w:r w:rsidRPr="009D5E35">
        <w:t xml:space="preserve">Calculation of several versions of the </w:t>
      </w:r>
      <w:r w:rsidR="00A94A6E">
        <w:t>Peripherality Index</w:t>
      </w:r>
      <w:r w:rsidRPr="009D5E35">
        <w:t xml:space="preserve">, at the level of localities, and at the level of </w:t>
      </w:r>
      <w:r w:rsidR="00AF6034" w:rsidRPr="009D5E35">
        <w:t xml:space="preserve">local authorities. Presentation of the results </w:t>
      </w:r>
      <w:r w:rsidR="00DD7E63">
        <w:t>to</w:t>
      </w:r>
      <w:r w:rsidR="00AF6034" w:rsidRPr="009D5E35">
        <w:t xml:space="preserve"> the steering committee, comparisons and discussion for the purpo</w:t>
      </w:r>
      <w:r w:rsidR="00DD7E63">
        <w:t>se of obtaining the final model;</w:t>
      </w:r>
    </w:p>
    <w:p w14:paraId="3AA65C89" w14:textId="209F8535" w:rsidR="00AF6034" w:rsidRPr="009D5E35" w:rsidRDefault="002D0708" w:rsidP="007D064C">
      <w:pPr>
        <w:pStyle w:val="body"/>
        <w:numPr>
          <w:ilvl w:val="0"/>
          <w:numId w:val="27"/>
        </w:numPr>
        <w:ind w:left="284"/>
      </w:pPr>
      <w:r w:rsidRPr="009D5E35">
        <w:t>Calculation</w:t>
      </w:r>
      <w:r w:rsidR="00AF6034" w:rsidRPr="009D5E35">
        <w:t xml:space="preserve"> of the final model for localities and </w:t>
      </w:r>
      <w:r w:rsidR="00E916B0">
        <w:t>local authorities (see Chapter D</w:t>
      </w:r>
      <w:r w:rsidR="00AF6034" w:rsidRPr="009D5E35">
        <w:t>).</w:t>
      </w:r>
    </w:p>
    <w:p w14:paraId="1B38C1C6" w14:textId="77777777" w:rsidR="00AF6034" w:rsidRPr="009D5E35" w:rsidRDefault="004F7DD8" w:rsidP="007D064C">
      <w:pPr>
        <w:pStyle w:val="2"/>
        <w:spacing w:before="240" w:after="240"/>
        <w:ind w:left="357" w:hanging="357"/>
      </w:pPr>
      <w:bookmarkStart w:id="11" w:name="_Toc127808119"/>
      <w:bookmarkStart w:id="12" w:name="_Toc371416"/>
      <w:bookmarkStart w:id="13" w:name="_Toc149219662"/>
      <w:r>
        <w:lastRenderedPageBreak/>
        <w:t>Application</w:t>
      </w:r>
      <w:r w:rsidR="00AF6034" w:rsidRPr="009D5E35">
        <w:t>s of the Index</w:t>
      </w:r>
      <w:bookmarkEnd w:id="11"/>
      <w:bookmarkEnd w:id="12"/>
      <w:bookmarkEnd w:id="13"/>
    </w:p>
    <w:p w14:paraId="6B6E7FC6" w14:textId="47979986" w:rsidR="00AF1B5A" w:rsidRPr="009D5E35" w:rsidRDefault="00AF6034" w:rsidP="00F62DF1">
      <w:pPr>
        <w:pStyle w:val="body"/>
      </w:pPr>
      <w:r w:rsidRPr="009D5E35">
        <w:t xml:space="preserve">The </w:t>
      </w:r>
      <w:r w:rsidR="00A94A6E">
        <w:t>Peripherality Index</w:t>
      </w:r>
      <w:r w:rsidRPr="009D5E35">
        <w:t xml:space="preserve"> </w:t>
      </w:r>
      <w:r w:rsidR="00062302" w:rsidRPr="009D5E35">
        <w:t xml:space="preserve">is one of the measures </w:t>
      </w:r>
      <w:r w:rsidR="004F7DD8">
        <w:t>aimed at characterizing</w:t>
      </w:r>
      <w:r w:rsidR="00062302" w:rsidRPr="009D5E35">
        <w:t xml:space="preserve"> the local authorities in Israel according to various dimensions that might influence their functioning (along with the Socio-Economic Index and the </w:t>
      </w:r>
      <w:r w:rsidR="00AF1B5A" w:rsidRPr="009D5E35">
        <w:t>Index of Compactness</w:t>
      </w:r>
      <w:r w:rsidR="00B929B8" w:rsidRPr="002140D9">
        <w:rPr>
          <w:rStyle w:val="ab"/>
          <w:vertAlign w:val="baseline"/>
        </w:rPr>
        <w:t xml:space="preserve"> </w:t>
      </w:r>
      <w:r w:rsidR="00B929B8" w:rsidRPr="00F62DF1">
        <w:t>[Cen</w:t>
      </w:r>
      <w:r w:rsidR="009C5B93" w:rsidRPr="00F62DF1">
        <w:t>tral Bureau of Statistics, 20</w:t>
      </w:r>
      <w:r w:rsidR="00F62DF1" w:rsidRPr="00F62DF1">
        <w:t>21</w:t>
      </w:r>
      <w:r w:rsidR="009C5B93" w:rsidRPr="00F62DF1">
        <w:t>,</w:t>
      </w:r>
      <w:r w:rsidR="00B929B8" w:rsidRPr="00F62DF1">
        <w:t xml:space="preserve"> 20</w:t>
      </w:r>
      <w:r w:rsidR="00F62DF1" w:rsidRPr="00F62DF1">
        <w:t>23</w:t>
      </w:r>
      <w:r w:rsidR="00B929B8" w:rsidRPr="00F62DF1">
        <w:t>]</w:t>
      </w:r>
      <w:r w:rsidR="00AF1B5A" w:rsidRPr="00F62DF1">
        <w:t>).</w:t>
      </w:r>
      <w:r w:rsidR="00AF1B5A" w:rsidRPr="009D5E35">
        <w:t xml:space="preserve"> As of 2015, these indices have been included in the basic statistics produced by the Central Bureau of Statistics</w:t>
      </w:r>
      <w:r w:rsidR="00C01ED6">
        <w:t xml:space="preserve"> (CBS)</w:t>
      </w:r>
      <w:r w:rsidR="00AF1B5A" w:rsidRPr="009D5E35">
        <w:t xml:space="preserve">. The </w:t>
      </w:r>
      <w:r w:rsidR="00A94A6E">
        <w:t>Peripherality Index</w:t>
      </w:r>
      <w:r w:rsidR="00AF1B5A" w:rsidRPr="009D5E35">
        <w:t xml:space="preserve"> will be updated and published every 5 years.</w:t>
      </w:r>
    </w:p>
    <w:p w14:paraId="0928CDA3" w14:textId="77777777" w:rsidR="00AF6034" w:rsidRPr="009D5E35" w:rsidRDefault="00AF1B5A" w:rsidP="00230FB8">
      <w:pPr>
        <w:pStyle w:val="body"/>
        <w:numPr>
          <w:ilvl w:val="0"/>
          <w:numId w:val="2"/>
        </w:numPr>
        <w:ind w:left="357" w:hanging="357"/>
      </w:pPr>
      <w:r w:rsidRPr="009D5E35">
        <w:t xml:space="preserve">Government ministries and other central bodies use the </w:t>
      </w:r>
      <w:r w:rsidR="00A94A6E">
        <w:t>Peripherality Index</w:t>
      </w:r>
      <w:r w:rsidRPr="009D5E35">
        <w:t xml:space="preserve"> to formulate </w:t>
      </w:r>
      <w:r w:rsidR="004F7DD8">
        <w:t xml:space="preserve">their </w:t>
      </w:r>
      <w:r w:rsidRPr="009D5E35">
        <w:t xml:space="preserve">policy and allocate resources to the local authorities and residents of the localities (for example, </w:t>
      </w:r>
      <w:r w:rsidR="00BF779B" w:rsidRPr="009D5E35">
        <w:t>the Balance Grant provided by the Ministry of Interior and the Ministry of Finance’s Tax Benefit Law).</w:t>
      </w:r>
    </w:p>
    <w:p w14:paraId="7D659FAE" w14:textId="1DE984B8" w:rsidR="00BF779B" w:rsidRPr="009D5E35" w:rsidRDefault="00BF779B" w:rsidP="00024957">
      <w:pPr>
        <w:pStyle w:val="body"/>
        <w:numPr>
          <w:ilvl w:val="0"/>
          <w:numId w:val="2"/>
        </w:numPr>
        <w:ind w:left="357" w:hanging="357"/>
      </w:pPr>
      <w:r w:rsidRPr="009D5E35">
        <w:t xml:space="preserve">The </w:t>
      </w:r>
      <w:r w:rsidR="00C01ED6">
        <w:t>CBS</w:t>
      </w:r>
      <w:r w:rsidR="00DA5C47" w:rsidRPr="009D5E35">
        <w:t xml:space="preserve"> uses the </w:t>
      </w:r>
      <w:r w:rsidR="00A94A6E">
        <w:t>Peripherality Index</w:t>
      </w:r>
      <w:r w:rsidRPr="009D5E35">
        <w:t xml:space="preserve"> </w:t>
      </w:r>
      <w:r w:rsidR="00DA5C47" w:rsidRPr="009D5E35">
        <w:t>in defining sampling processes for various surveys, and as a basis for presentation of socio-</w:t>
      </w:r>
      <w:r w:rsidR="0048426D" w:rsidRPr="009D5E35">
        <w:t xml:space="preserve">economic data (for example, the </w:t>
      </w:r>
      <w:r w:rsidR="0048426D" w:rsidRPr="0066103C">
        <w:rPr>
          <w:i/>
          <w:iCs/>
        </w:rPr>
        <w:t>Society in Israel</w:t>
      </w:r>
      <w:r w:rsidR="0048426D" w:rsidRPr="009D5E35">
        <w:t xml:space="preserve"> </w:t>
      </w:r>
      <w:r w:rsidR="00024957" w:rsidRPr="00024957">
        <w:rPr>
          <w:i/>
          <w:iCs/>
        </w:rPr>
        <w:t>Report</w:t>
      </w:r>
      <w:r w:rsidR="00B929B8" w:rsidRPr="007D064C">
        <w:rPr>
          <w:i/>
        </w:rPr>
        <w:t xml:space="preserve"> </w:t>
      </w:r>
      <w:r w:rsidR="00B929B8">
        <w:t>[Central Bureau of Statistics, 2010</w:t>
      </w:r>
      <w:r w:rsidR="00024957">
        <w:t>, 2019</w:t>
      </w:r>
      <w:r w:rsidR="00B929B8">
        <w:t>]</w:t>
      </w:r>
      <w:r w:rsidR="0048426D" w:rsidRPr="009D5E35">
        <w:t>).</w:t>
      </w:r>
    </w:p>
    <w:p w14:paraId="3EABE2A1" w14:textId="77777777" w:rsidR="0048426D" w:rsidRPr="009D5E35" w:rsidRDefault="0048426D" w:rsidP="00230FB8">
      <w:pPr>
        <w:pStyle w:val="body"/>
        <w:numPr>
          <w:ilvl w:val="0"/>
          <w:numId w:val="2"/>
        </w:numPr>
        <w:ind w:left="357" w:hanging="357"/>
      </w:pPr>
      <w:r w:rsidRPr="009D5E35">
        <w:t>The Index can be used by Israeli academic and research institutions as a basis for additional research projects on various social topics.</w:t>
      </w:r>
    </w:p>
    <w:p w14:paraId="6321FD3F" w14:textId="77777777" w:rsidR="0048426D" w:rsidRPr="000A087E" w:rsidRDefault="0048426D" w:rsidP="0008683D">
      <w:pPr>
        <w:pStyle w:val="2"/>
        <w:spacing w:before="360" w:after="240"/>
        <w:ind w:left="357" w:hanging="357"/>
      </w:pPr>
      <w:bookmarkStart w:id="14" w:name="_Toc127808120"/>
      <w:bookmarkStart w:id="15" w:name="_Toc371417"/>
      <w:bookmarkStart w:id="16" w:name="_Toc149219663"/>
      <w:r w:rsidRPr="000A087E">
        <w:t>Previous Research on Measurement of Peripherality</w:t>
      </w:r>
      <w:bookmarkEnd w:id="14"/>
      <w:bookmarkEnd w:id="15"/>
      <w:bookmarkEnd w:id="16"/>
    </w:p>
    <w:p w14:paraId="29FD5406" w14:textId="77777777" w:rsidR="004E0863" w:rsidRPr="004E0863" w:rsidRDefault="0048426D" w:rsidP="00230FB8">
      <w:pPr>
        <w:pStyle w:val="3"/>
        <w:numPr>
          <w:ilvl w:val="0"/>
          <w:numId w:val="24"/>
        </w:numPr>
        <w:ind w:left="357" w:hanging="357"/>
      </w:pPr>
      <w:bookmarkStart w:id="17" w:name="_Toc127808121"/>
      <w:bookmarkStart w:id="18" w:name="_Toc371418"/>
      <w:bookmarkStart w:id="19" w:name="_Toc149219664"/>
      <w:r w:rsidRPr="004E0863">
        <w:t>International Research</w:t>
      </w:r>
      <w:bookmarkEnd w:id="17"/>
      <w:bookmarkEnd w:id="18"/>
      <w:bookmarkEnd w:id="19"/>
    </w:p>
    <w:p w14:paraId="768D2080" w14:textId="77777777" w:rsidR="0048426D" w:rsidRPr="009D5E35" w:rsidRDefault="00F52D56" w:rsidP="00DE2A44">
      <w:pPr>
        <w:pStyle w:val="body"/>
      </w:pPr>
      <w:r w:rsidRPr="009D5E35">
        <w:t xml:space="preserve">Since the 1990s, the measurement of geographic peripherality has generated much attention in theoretical and applied international research. New countries joined the European Union, necessitating the allocation of resources to areas remote from the centre of Europe. </w:t>
      </w:r>
      <w:r w:rsidR="0066103C">
        <w:t>In addition, d</w:t>
      </w:r>
      <w:r w:rsidRPr="009D5E35">
        <w:t xml:space="preserve">uring the same period, projects were developed that analysed the influence of new transportation systems on social and economic activity in various regions. </w:t>
      </w:r>
      <w:r w:rsidR="00E2095E" w:rsidRPr="009D5E35">
        <w:t>All of this generated much interest</w:t>
      </w:r>
      <w:r w:rsidRPr="009D5E35">
        <w:t xml:space="preserve"> </w:t>
      </w:r>
      <w:r w:rsidR="00E2095E" w:rsidRPr="009D5E35">
        <w:t>in methods for measuring the peripherality of regions from the perspective of geographic location.</w:t>
      </w:r>
    </w:p>
    <w:p w14:paraId="1F24C2CB" w14:textId="77777777" w:rsidR="00CB0F54" w:rsidRPr="009D5E35" w:rsidRDefault="00E2095E" w:rsidP="00DE2A44">
      <w:pPr>
        <w:pStyle w:val="body"/>
      </w:pPr>
      <w:r w:rsidRPr="009D5E35">
        <w:t>The literature review (</w:t>
      </w:r>
      <w:r w:rsidR="002A0016">
        <w:t xml:space="preserve">Tsibel &amp; </w:t>
      </w:r>
      <w:proofErr w:type="spellStart"/>
      <w:r w:rsidR="002A0016">
        <w:t>Burck</w:t>
      </w:r>
      <w:proofErr w:type="spellEnd"/>
      <w:r w:rsidR="002A0016">
        <w:t>, 2005</w:t>
      </w:r>
      <w:r w:rsidRPr="009D5E35">
        <w:t xml:space="preserve">) presents many approaches and methods for measuring peripherality. Below is a partial list of applications </w:t>
      </w:r>
      <w:r w:rsidR="00CB0F54" w:rsidRPr="009D5E35">
        <w:t xml:space="preserve">in which the peripherality of various regions </w:t>
      </w:r>
      <w:r w:rsidR="0066103C" w:rsidRPr="009D5E35">
        <w:t xml:space="preserve">was measured </w:t>
      </w:r>
      <w:r w:rsidR="004F7DD8">
        <w:t>using a</w:t>
      </w:r>
      <w:r w:rsidR="00CB0F54" w:rsidRPr="009D5E35">
        <w:t xml:space="preserve"> potential accessibility</w:t>
      </w:r>
      <w:r w:rsidR="004F7DD8" w:rsidRPr="004F7DD8">
        <w:t xml:space="preserve"> </w:t>
      </w:r>
      <w:r w:rsidR="004F7DD8" w:rsidRPr="009D5E35">
        <w:t>index</w:t>
      </w:r>
      <w:r w:rsidR="00CB0F54" w:rsidRPr="009D5E35">
        <w:t>, described below in Chapter 3:</w:t>
      </w:r>
    </w:p>
    <w:p w14:paraId="605195A0" w14:textId="77777777" w:rsidR="00E2095E" w:rsidRPr="009D5E35" w:rsidRDefault="00CB0F54" w:rsidP="007D064C">
      <w:pPr>
        <w:pStyle w:val="body"/>
        <w:numPr>
          <w:ilvl w:val="0"/>
          <w:numId w:val="30"/>
        </w:numPr>
        <w:ind w:left="426" w:hanging="426"/>
      </w:pPr>
      <w:r w:rsidRPr="009D5E35">
        <w:t>Frost and Spence (1995)</w:t>
      </w:r>
      <w:r w:rsidR="00A94A6E">
        <w:t xml:space="preserve"> – construction of a</w:t>
      </w:r>
      <w:r w:rsidRPr="009D5E35">
        <w:t xml:space="preserve"> </w:t>
      </w:r>
      <w:r w:rsidR="00A94A6E">
        <w:t xml:space="preserve">peripherality </w:t>
      </w:r>
      <w:r w:rsidRPr="009D5E35">
        <w:t xml:space="preserve">index </w:t>
      </w:r>
      <w:r w:rsidR="0066103C">
        <w:t>for regions in Britain;</w:t>
      </w:r>
      <w:r w:rsidRPr="009D5E35">
        <w:t xml:space="preserve"> analysis of the influence of various definitions of self-distance in the model of potential accessibility.</w:t>
      </w:r>
    </w:p>
    <w:p w14:paraId="34E5F796" w14:textId="77777777" w:rsidR="00CB0F54" w:rsidRPr="009D5E35" w:rsidRDefault="00CB0F54" w:rsidP="007D064C">
      <w:pPr>
        <w:pStyle w:val="body"/>
        <w:numPr>
          <w:ilvl w:val="0"/>
          <w:numId w:val="30"/>
        </w:numPr>
        <w:ind w:left="426" w:hanging="426"/>
      </w:pPr>
      <w:proofErr w:type="spellStart"/>
      <w:r w:rsidRPr="009D5E35">
        <w:t>Copus</w:t>
      </w:r>
      <w:proofErr w:type="spellEnd"/>
      <w:r w:rsidRPr="009D5E35">
        <w:t xml:space="preserve"> (1999) – measurement of the peripherality of regions in the European Union.</w:t>
      </w:r>
    </w:p>
    <w:p w14:paraId="755814DF" w14:textId="77777777" w:rsidR="00CB0F54" w:rsidRPr="009D5E35" w:rsidRDefault="00FE4C88" w:rsidP="007D064C">
      <w:pPr>
        <w:pStyle w:val="body"/>
        <w:numPr>
          <w:ilvl w:val="0"/>
          <w:numId w:val="30"/>
        </w:numPr>
        <w:ind w:left="426" w:hanging="426"/>
      </w:pPr>
      <w:proofErr w:type="spellStart"/>
      <w:r w:rsidRPr="00D2661A">
        <w:lastRenderedPageBreak/>
        <w:t>Fürst</w:t>
      </w:r>
      <w:proofErr w:type="spellEnd"/>
      <w:r w:rsidRPr="009D5E35">
        <w:t xml:space="preserve"> </w:t>
      </w:r>
      <w:r>
        <w:t xml:space="preserve">et al. (1999), </w:t>
      </w:r>
      <w:r w:rsidRPr="009D5E35">
        <w:t>SASI Project</w:t>
      </w:r>
      <w:r w:rsidR="00CB0F54" w:rsidRPr="009D5E35">
        <w:t xml:space="preserve"> – use of the potential accessibility</w:t>
      </w:r>
      <w:r w:rsidR="00555387" w:rsidRPr="00555387">
        <w:t xml:space="preserve"> </w:t>
      </w:r>
      <w:r w:rsidR="00555387" w:rsidRPr="009D5E35">
        <w:t>index</w:t>
      </w:r>
      <w:r w:rsidR="00CB0F54" w:rsidRPr="009D5E35">
        <w:t xml:space="preserve"> </w:t>
      </w:r>
      <w:r w:rsidR="003D6B96" w:rsidRPr="009D5E35">
        <w:t>in the analysis of the influence of development of transportation systems in Europe on socio-economic aspects (</w:t>
      </w:r>
      <w:r w:rsidR="00F92604" w:rsidRPr="009D5E35">
        <w:t>on-going</w:t>
      </w:r>
      <w:r w:rsidR="003D6B96" w:rsidRPr="009D5E35">
        <w:t xml:space="preserve"> project that </w:t>
      </w:r>
      <w:r w:rsidR="002A0016">
        <w:t>started</w:t>
      </w:r>
      <w:r w:rsidR="003D6B96" w:rsidRPr="009D5E35">
        <w:t xml:space="preserve"> in the 1990s).</w:t>
      </w:r>
    </w:p>
    <w:p w14:paraId="4F25B7FB" w14:textId="77777777" w:rsidR="003D6B96" w:rsidRPr="009D5E35" w:rsidRDefault="003D6B96" w:rsidP="007D064C">
      <w:pPr>
        <w:pStyle w:val="body"/>
        <w:numPr>
          <w:ilvl w:val="0"/>
          <w:numId w:val="30"/>
        </w:numPr>
        <w:ind w:left="426" w:hanging="426"/>
      </w:pPr>
      <w:r w:rsidRPr="009D5E35">
        <w:t>Accessibility/Remoteness Index of Australia</w:t>
      </w:r>
      <w:r w:rsidR="00FE4C88">
        <w:t xml:space="preserve"> (</w:t>
      </w:r>
      <w:r w:rsidR="00FE4C88" w:rsidRPr="00D2661A">
        <w:t>Hugo Centre for Migration and Population Research</w:t>
      </w:r>
      <w:r w:rsidR="00FE4C88">
        <w:t xml:space="preserve">, </w:t>
      </w:r>
      <w:r w:rsidR="00FE4C88" w:rsidRPr="00D2661A">
        <w:t>2001–2016</w:t>
      </w:r>
      <w:r w:rsidR="00FE4C88">
        <w:t>)</w:t>
      </w:r>
      <w:r w:rsidRPr="009D5E35">
        <w:t xml:space="preserve"> – in use since 2001 by the </w:t>
      </w:r>
      <w:r w:rsidR="009F2774" w:rsidRPr="009D5E35">
        <w:t>Australian Bureau of Statistics as a basis for classification of regions by their level of centrality.</w:t>
      </w:r>
    </w:p>
    <w:p w14:paraId="750FF385" w14:textId="512AC072" w:rsidR="009F2774" w:rsidRPr="009D5E35" w:rsidRDefault="0066103C" w:rsidP="007D064C">
      <w:pPr>
        <w:pStyle w:val="body"/>
        <w:numPr>
          <w:ilvl w:val="0"/>
          <w:numId w:val="30"/>
        </w:numPr>
        <w:ind w:left="426" w:hanging="426"/>
      </w:pPr>
      <w:proofErr w:type="spellStart"/>
      <w:r>
        <w:t>Shurmann</w:t>
      </w:r>
      <w:proofErr w:type="spellEnd"/>
      <w:r>
        <w:t xml:space="preserve"> and </w:t>
      </w:r>
      <w:proofErr w:type="spellStart"/>
      <w:r>
        <w:t>Talaat</w:t>
      </w:r>
      <w:proofErr w:type="spellEnd"/>
      <w:r>
        <w:t xml:space="preserve"> (2000</w:t>
      </w:r>
      <w:r w:rsidR="00C64505">
        <w:rPr>
          <w:lang w:val="en-US"/>
        </w:rPr>
        <w:t xml:space="preserve">, </w:t>
      </w:r>
      <w:r w:rsidR="00FE4C88">
        <w:t>2002)</w:t>
      </w:r>
      <w:r w:rsidR="009F2774" w:rsidRPr="009D5E35">
        <w:t xml:space="preserve"> – </w:t>
      </w:r>
      <w:r w:rsidR="00FD1EFD" w:rsidRPr="009D5E35">
        <w:t xml:space="preserve">measurement of the peripherality of European Union countries and candidate countries for admission; comparison between the potential accessibility indices </w:t>
      </w:r>
      <w:r w:rsidR="00555387">
        <w:t>calculated based on</w:t>
      </w:r>
      <w:r w:rsidR="00FD1EFD" w:rsidRPr="009D5E35">
        <w:t xml:space="preserve"> the population</w:t>
      </w:r>
      <w:r w:rsidR="00555387">
        <w:t xml:space="preserve"> </w:t>
      </w:r>
      <w:r w:rsidR="00FD1EFD" w:rsidRPr="009D5E35">
        <w:t xml:space="preserve">and </w:t>
      </w:r>
      <w:r w:rsidR="00B5716B">
        <w:t>those calculated based on</w:t>
      </w:r>
      <w:r w:rsidR="00FD1EFD" w:rsidRPr="009D5E35">
        <w:t xml:space="preserve"> the gross domestic product; discussion of the influence of the European transportation system on regional development.</w:t>
      </w:r>
    </w:p>
    <w:p w14:paraId="7FFE1F43" w14:textId="77777777" w:rsidR="00FD1EFD" w:rsidRPr="009D5E35" w:rsidRDefault="00FD1EFD" w:rsidP="007D064C">
      <w:pPr>
        <w:pStyle w:val="body"/>
        <w:numPr>
          <w:ilvl w:val="0"/>
          <w:numId w:val="30"/>
        </w:numPr>
        <w:ind w:left="426" w:hanging="426"/>
      </w:pPr>
      <w:proofErr w:type="spellStart"/>
      <w:r w:rsidRPr="009D5E35">
        <w:t>Spiekermann</w:t>
      </w:r>
      <w:proofErr w:type="spellEnd"/>
      <w:r w:rsidRPr="009D5E35">
        <w:t xml:space="preserve"> and Neubauer (2002)</w:t>
      </w:r>
      <w:r w:rsidR="00FE4C88">
        <w:t xml:space="preserve"> </w:t>
      </w:r>
      <w:r w:rsidRPr="009D5E35">
        <w:t>– measurement of the peripherality of large European cities and variou</w:t>
      </w:r>
      <w:r w:rsidR="0066103C">
        <w:t>s regions in the European Union;</w:t>
      </w:r>
      <w:r w:rsidRPr="009D5E35">
        <w:t xml:space="preserve"> comparison among different types of accessibility indices.</w:t>
      </w:r>
    </w:p>
    <w:p w14:paraId="5302478C" w14:textId="77777777" w:rsidR="00FD1EFD" w:rsidRPr="009D5E35" w:rsidRDefault="00FD1EFD" w:rsidP="007D064C">
      <w:pPr>
        <w:pStyle w:val="body"/>
        <w:numPr>
          <w:ilvl w:val="0"/>
          <w:numId w:val="30"/>
        </w:numPr>
        <w:spacing w:after="240"/>
        <w:ind w:left="426" w:hanging="426"/>
      </w:pPr>
      <w:r w:rsidRPr="009D5E35">
        <w:t xml:space="preserve">Wang and Minor (2002) – construction of </w:t>
      </w:r>
      <w:r w:rsidR="00D067D7" w:rsidRPr="009D5E35">
        <w:t xml:space="preserve">potential accessibility indices </w:t>
      </w:r>
      <w:r w:rsidR="00555387">
        <w:t>for</w:t>
      </w:r>
      <w:r w:rsidR="00D067D7" w:rsidRPr="009D5E35">
        <w:t xml:space="preserve"> the </w:t>
      </w:r>
      <w:r w:rsidR="00555387">
        <w:t xml:space="preserve">employed </w:t>
      </w:r>
      <w:r w:rsidR="00D067D7" w:rsidRPr="009D5E35">
        <w:t>population in the city of Cleveland, Ohio</w:t>
      </w:r>
      <w:r w:rsidR="00555387">
        <w:t>,</w:t>
      </w:r>
      <w:r w:rsidR="00D067D7" w:rsidRPr="009D5E35">
        <w:t xml:space="preserve"> in the United States, in order to </w:t>
      </w:r>
      <w:r w:rsidR="0068273E" w:rsidRPr="009D5E35">
        <w:t>analyse</w:t>
      </w:r>
      <w:r w:rsidR="00D067D7" w:rsidRPr="009D5E35">
        <w:t xml:space="preserve"> the influence of accessibility to workplaces on the crime rate.</w:t>
      </w:r>
    </w:p>
    <w:p w14:paraId="197FA997" w14:textId="77777777" w:rsidR="00EF10A7" w:rsidRPr="009D5E35" w:rsidRDefault="00EF10A7" w:rsidP="00E24163">
      <w:pPr>
        <w:pStyle w:val="3"/>
        <w:numPr>
          <w:ilvl w:val="0"/>
          <w:numId w:val="24"/>
        </w:numPr>
        <w:ind w:left="357" w:hanging="357"/>
      </w:pPr>
      <w:bookmarkStart w:id="20" w:name="_Toc127808122"/>
      <w:bookmarkStart w:id="21" w:name="_Toc371419"/>
      <w:bookmarkStart w:id="22" w:name="_Toc149219665"/>
      <w:r w:rsidRPr="009D5E35">
        <w:t xml:space="preserve">Methods </w:t>
      </w:r>
      <w:r w:rsidRPr="00752013">
        <w:t>Applied</w:t>
      </w:r>
      <w:r w:rsidRPr="009D5E35">
        <w:t xml:space="preserve"> in Israel</w:t>
      </w:r>
      <w:bookmarkEnd w:id="20"/>
      <w:bookmarkEnd w:id="21"/>
      <w:bookmarkEnd w:id="22"/>
    </w:p>
    <w:p w14:paraId="5199D6A1" w14:textId="67B04C56" w:rsidR="00400726" w:rsidRPr="009D5E35" w:rsidRDefault="00400726" w:rsidP="00353A03">
      <w:pPr>
        <w:pStyle w:val="body"/>
        <w:numPr>
          <w:ilvl w:val="0"/>
          <w:numId w:val="29"/>
        </w:numPr>
        <w:ind w:left="426" w:hanging="426"/>
      </w:pPr>
      <w:r w:rsidRPr="009D5E35">
        <w:t xml:space="preserve">Since the 1990s, the Ministry of Education has constructed a Care Index </w:t>
      </w:r>
      <w:r>
        <w:t xml:space="preserve">(Ministry of Education, n. d.) </w:t>
      </w:r>
      <w:r w:rsidRPr="009D5E35">
        <w:t xml:space="preserve">which </w:t>
      </w:r>
      <w:r>
        <w:t>is used for</w:t>
      </w:r>
      <w:r w:rsidRPr="009D5E35">
        <w:t xml:space="preserve"> differential allocation of resources in the school system. The index includes a school peripherality component that has two aspects: the distance between the locality where the school is located and the closest of the three large cities, and the relevant population density (Jewish or Arab) in a radius of 20–25 km from the locality. As of the 2014</w:t>
      </w:r>
      <w:r>
        <w:t>/</w:t>
      </w:r>
      <w:r w:rsidRPr="009D5E35">
        <w:t xml:space="preserve">15 school year, the Ministry of Education has used the </w:t>
      </w:r>
      <w:r>
        <w:t>Peripherality Index 2015</w:t>
      </w:r>
      <w:r w:rsidRPr="009D5E35">
        <w:t xml:space="preserve"> of the </w:t>
      </w:r>
      <w:r>
        <w:t>CBS</w:t>
      </w:r>
      <w:r w:rsidRPr="009D5E35">
        <w:t>.</w:t>
      </w:r>
    </w:p>
    <w:p w14:paraId="4D95C18B" w14:textId="2071B35E" w:rsidR="00774C28" w:rsidRPr="009D5E35" w:rsidRDefault="00774C28" w:rsidP="007D064C">
      <w:pPr>
        <w:pStyle w:val="body"/>
        <w:numPr>
          <w:ilvl w:val="0"/>
          <w:numId w:val="29"/>
        </w:numPr>
        <w:ind w:left="426" w:hanging="426"/>
      </w:pPr>
      <w:r w:rsidRPr="009D5E35">
        <w:t>Since the early 2000s, Israel’s state lottery has granted development budgets to the local authorities</w:t>
      </w:r>
      <w:r>
        <w:t xml:space="preserve"> (</w:t>
      </w:r>
      <w:proofErr w:type="spellStart"/>
      <w:r w:rsidRPr="00D2661A">
        <w:t>Mifal</w:t>
      </w:r>
      <w:proofErr w:type="spellEnd"/>
      <w:r w:rsidRPr="00D2661A">
        <w:t xml:space="preserve"> </w:t>
      </w:r>
      <w:proofErr w:type="spellStart"/>
      <w:r w:rsidRPr="00D2661A">
        <w:t>HaPayis</w:t>
      </w:r>
      <w:proofErr w:type="spellEnd"/>
      <w:r>
        <w:t>, 2002)</w:t>
      </w:r>
      <w:r w:rsidRPr="009D5E35">
        <w:t xml:space="preserve"> according to a formula that includes distance fro</w:t>
      </w:r>
      <w:r>
        <w:t>m the centre of the country as one</w:t>
      </w:r>
      <w:r w:rsidRPr="009D5E35">
        <w:t xml:space="preserve"> </w:t>
      </w:r>
      <w:r>
        <w:t xml:space="preserve">of the </w:t>
      </w:r>
      <w:r w:rsidRPr="009D5E35">
        <w:t>component</w:t>
      </w:r>
      <w:r>
        <w:t>s</w:t>
      </w:r>
      <w:r w:rsidRPr="009D5E35">
        <w:t xml:space="preserve">. The </w:t>
      </w:r>
      <w:r>
        <w:t xml:space="preserve">distance </w:t>
      </w:r>
      <w:r w:rsidRPr="009D5E35">
        <w:t xml:space="preserve">component is calculated by means of dividing the area of the country into 10 radial rings, each 10 km wide, from the vertices of the triangle formed by the metropolitan blocs of Jerusalem, Tel Aviv, and Haifa and the </w:t>
      </w:r>
      <w:proofErr w:type="spellStart"/>
      <w:r w:rsidRPr="009D5E35">
        <w:t>Krayot</w:t>
      </w:r>
      <w:proofErr w:type="spellEnd"/>
      <w:r w:rsidRPr="009D5E35">
        <w:t xml:space="preserve">. The </w:t>
      </w:r>
      <w:r>
        <w:t>more distant</w:t>
      </w:r>
      <w:r w:rsidRPr="009D5E35">
        <w:t xml:space="preserve"> a local authority is from the triangle of large cities, the larger the amount allocated to the authority according to this criterion, because its residents need a larger variety of public buildings, compared to residents of authorities </w:t>
      </w:r>
      <w:r>
        <w:t xml:space="preserve">located </w:t>
      </w:r>
      <w:r w:rsidRPr="009D5E35">
        <w:t>closer to the facilities in the centre.</w:t>
      </w:r>
    </w:p>
    <w:p w14:paraId="052EC160" w14:textId="77777777" w:rsidR="00774C28" w:rsidRPr="009D5E35" w:rsidRDefault="00774C28" w:rsidP="007D064C">
      <w:pPr>
        <w:pStyle w:val="body"/>
        <w:numPr>
          <w:ilvl w:val="0"/>
          <w:numId w:val="29"/>
        </w:numPr>
        <w:ind w:left="426" w:hanging="426"/>
      </w:pPr>
      <w:r w:rsidRPr="009D5E35">
        <w:t xml:space="preserve">In </w:t>
      </w:r>
      <w:r>
        <w:t>the</w:t>
      </w:r>
      <w:r w:rsidRPr="00B06531">
        <w:t xml:space="preserve"> social report</w:t>
      </w:r>
      <w:r w:rsidRPr="0066103C">
        <w:rPr>
          <w:i/>
          <w:iCs/>
        </w:rPr>
        <w:t xml:space="preserve"> </w:t>
      </w:r>
      <w:r>
        <w:t>published</w:t>
      </w:r>
      <w:r w:rsidRPr="009D5E35">
        <w:t xml:space="preserve"> by the</w:t>
      </w:r>
      <w:r>
        <w:t xml:space="preserve"> CBS for</w:t>
      </w:r>
      <w:r w:rsidRPr="009D5E35">
        <w:t xml:space="preserve"> 2000 and 2001</w:t>
      </w:r>
      <w:r>
        <w:t xml:space="preserve"> (Central Bureau of Statistics, 2002)</w:t>
      </w:r>
      <w:r w:rsidRPr="009D5E35">
        <w:t xml:space="preserve">, a division of the sub-districts in Israel into 4 regions according </w:t>
      </w:r>
      <w:r w:rsidRPr="009D5E35">
        <w:lastRenderedPageBreak/>
        <w:t>to 2 variables was presented. The variables were proximity to Tel Aviv (close</w:t>
      </w:r>
      <w:r w:rsidR="00E24163">
        <w:t xml:space="preserve"> </w:t>
      </w:r>
      <w:r w:rsidRPr="009D5E35">
        <w:t>/</w:t>
      </w:r>
      <w:r w:rsidR="00E24163">
        <w:rPr>
          <w:lang w:val="en-US"/>
        </w:rPr>
        <w:t xml:space="preserve"> </w:t>
      </w:r>
      <w:r w:rsidRPr="009D5E35">
        <w:t>medium distance</w:t>
      </w:r>
      <w:r w:rsidR="00E24163">
        <w:t xml:space="preserve"> </w:t>
      </w:r>
      <w:r w:rsidRPr="009D5E35">
        <w:t>/</w:t>
      </w:r>
      <w:r w:rsidR="00E24163">
        <w:t xml:space="preserve"> </w:t>
      </w:r>
      <w:r w:rsidRPr="009D5E35">
        <w:t>far) and level of urbanization (percentage of localities with 2,000 or more residents and population density). In addition, the social indicators for these regions were compared.</w:t>
      </w:r>
    </w:p>
    <w:p w14:paraId="6DBD251D" w14:textId="3E87F2AA" w:rsidR="00400726" w:rsidRDefault="007C19EC" w:rsidP="007D064C">
      <w:pPr>
        <w:pStyle w:val="body"/>
        <w:numPr>
          <w:ilvl w:val="0"/>
          <w:numId w:val="29"/>
        </w:numPr>
        <w:ind w:left="426" w:hanging="426"/>
      </w:pPr>
      <w:r w:rsidRPr="009D5E35">
        <w:t>In 2008, for the first time, the C</w:t>
      </w:r>
      <w:r>
        <w:t>BS published a peripherality</w:t>
      </w:r>
      <w:r w:rsidRPr="009D5E35">
        <w:t xml:space="preserve"> index for local authorities in Israel</w:t>
      </w:r>
      <w:r w:rsidR="007A668D">
        <w:t>,</w:t>
      </w:r>
      <w:r w:rsidRPr="009D5E35">
        <w:t xml:space="preserve"> which was based on population data for 2004 and on the road </w:t>
      </w:r>
      <w:r>
        <w:t>network</w:t>
      </w:r>
      <w:r w:rsidRPr="009D5E35">
        <w:t xml:space="preserve"> in 2006</w:t>
      </w:r>
      <w:r w:rsidR="007A668D">
        <w:t xml:space="preserve"> (Central Bureau of Statistics, 2008)</w:t>
      </w:r>
      <w:r w:rsidRPr="009D5E35">
        <w:t xml:space="preserve">. The index values were calculated as the average </w:t>
      </w:r>
      <w:r>
        <w:t xml:space="preserve">of the </w:t>
      </w:r>
      <w:r w:rsidRPr="005A5D73">
        <w:t>standard</w:t>
      </w:r>
      <w:r w:rsidR="000B4901" w:rsidRPr="005A5D73">
        <w:t>ized</w:t>
      </w:r>
      <w:r w:rsidRPr="009D5E35">
        <w:t xml:space="preserve"> </w:t>
      </w:r>
      <w:r w:rsidR="000B4901">
        <w:t>values</w:t>
      </w:r>
      <w:r w:rsidRPr="009D5E35">
        <w:t xml:space="preserve"> of two components: the </w:t>
      </w:r>
      <w:r>
        <w:t>potential accessibility index</w:t>
      </w:r>
      <w:r w:rsidRPr="009D5E35">
        <w:t xml:space="preserve"> (in accordance with the international research described in Section 4.1), and proximity to the boundary of the Tel Aviv District.</w:t>
      </w:r>
    </w:p>
    <w:p w14:paraId="0C45ADF1" w14:textId="63F99583" w:rsidR="007C19EC" w:rsidRDefault="0068273E" w:rsidP="00353A03">
      <w:pPr>
        <w:pStyle w:val="body"/>
        <w:numPr>
          <w:ilvl w:val="0"/>
          <w:numId w:val="29"/>
        </w:numPr>
        <w:ind w:left="426" w:hanging="426"/>
      </w:pPr>
      <w:r w:rsidRPr="009D5E35">
        <w:t>In 20</w:t>
      </w:r>
      <w:r w:rsidR="007C19EC">
        <w:t xml:space="preserve">17 </w:t>
      </w:r>
      <w:r w:rsidRPr="009D5E35">
        <w:t>the C</w:t>
      </w:r>
      <w:r w:rsidR="00C01ED6">
        <w:t>BS</w:t>
      </w:r>
      <w:r w:rsidR="00A94A6E">
        <w:t xml:space="preserve"> published a peripherality</w:t>
      </w:r>
      <w:r w:rsidRPr="009D5E35">
        <w:t xml:space="preserve"> index for </w:t>
      </w:r>
      <w:r w:rsidR="007C19EC">
        <w:t xml:space="preserve">localities and </w:t>
      </w:r>
      <w:r w:rsidRPr="009D5E35">
        <w:t>local authorities in Israel</w:t>
      </w:r>
      <w:r w:rsidR="007A668D">
        <w:t>,</w:t>
      </w:r>
      <w:r w:rsidRPr="009D5E35">
        <w:t xml:space="preserve"> which was based on population data and on the road </w:t>
      </w:r>
      <w:r w:rsidR="00B4425D">
        <w:t>network</w:t>
      </w:r>
      <w:r w:rsidRPr="009D5E35">
        <w:t xml:space="preserve"> in 20</w:t>
      </w:r>
      <w:r w:rsidR="007C19EC">
        <w:t>15</w:t>
      </w:r>
      <w:r w:rsidR="007A668D">
        <w:t xml:space="preserve"> (Central Bureau of Statistics, 2017, 2019)</w:t>
      </w:r>
      <w:r w:rsidRPr="009D5E35">
        <w:t xml:space="preserve">. The index values were calculated as </w:t>
      </w:r>
      <w:r w:rsidR="007C19EC" w:rsidRPr="00DE2A44">
        <w:t xml:space="preserve">a weighted total of the </w:t>
      </w:r>
      <w:r w:rsidR="007C19EC" w:rsidRPr="005A5D73">
        <w:t>standard</w:t>
      </w:r>
      <w:r w:rsidR="005A5D73" w:rsidRPr="005A5D73">
        <w:t>ized</w:t>
      </w:r>
      <w:r w:rsidR="007C19EC" w:rsidRPr="005A5D73">
        <w:t xml:space="preserve"> values</w:t>
      </w:r>
      <w:r w:rsidR="00B87920" w:rsidRPr="00DE2A44">
        <w:t xml:space="preserve"> </w:t>
      </w:r>
      <w:r w:rsidR="007C19EC" w:rsidRPr="00DE2A44">
        <w:t>of two components: the potential accessibility index (2/3 weight) and proximity to the boundary of the Tel Aviv District (1/3 weight)</w:t>
      </w:r>
      <w:r w:rsidR="00787E18">
        <w:t>.</w:t>
      </w:r>
    </w:p>
    <w:p w14:paraId="638805D5" w14:textId="77777777" w:rsidR="002D5961" w:rsidRPr="004E0863" w:rsidRDefault="002D5961" w:rsidP="004E0863">
      <w:pPr>
        <w:pStyle w:val="1"/>
      </w:pPr>
      <w:bookmarkStart w:id="23" w:name="_Toc127808123"/>
      <w:bookmarkStart w:id="24" w:name="_Toc371420"/>
      <w:bookmarkStart w:id="25" w:name="_Toc149219666"/>
      <w:r w:rsidRPr="004E0863">
        <w:t>Geographic</w:t>
      </w:r>
      <w:r w:rsidR="00F72CC2" w:rsidRPr="004E0863">
        <w:t>al</w:t>
      </w:r>
      <w:r w:rsidRPr="004E0863">
        <w:t xml:space="preserve"> Basis</w:t>
      </w:r>
      <w:bookmarkEnd w:id="23"/>
      <w:bookmarkEnd w:id="24"/>
      <w:bookmarkEnd w:id="25"/>
    </w:p>
    <w:p w14:paraId="74549910" w14:textId="77777777" w:rsidR="002D5961" w:rsidRDefault="00EB34FB" w:rsidP="00230FB8">
      <w:pPr>
        <w:pStyle w:val="2"/>
        <w:numPr>
          <w:ilvl w:val="0"/>
          <w:numId w:val="19"/>
        </w:numPr>
      </w:pPr>
      <w:bookmarkStart w:id="26" w:name="_Toc127808124"/>
      <w:bookmarkStart w:id="27" w:name="_Toc371421"/>
      <w:bookmarkStart w:id="28" w:name="_Toc149219667"/>
      <w:r w:rsidRPr="009D5E35">
        <w:t xml:space="preserve">General </w:t>
      </w:r>
      <w:r w:rsidRPr="00F47115">
        <w:t>Definitions</w:t>
      </w:r>
      <w:r w:rsidRPr="009D5E35">
        <w:t xml:space="preserve"> and Explanations</w:t>
      </w:r>
      <w:bookmarkEnd w:id="26"/>
      <w:bookmarkEnd w:id="27"/>
      <w:bookmarkEnd w:id="28"/>
    </w:p>
    <w:p w14:paraId="6C80EF19" w14:textId="77777777" w:rsidR="00EB34FB" w:rsidRPr="009D5E35" w:rsidRDefault="00EB34FB" w:rsidP="002140D9">
      <w:pPr>
        <w:pStyle w:val="body"/>
        <w:numPr>
          <w:ilvl w:val="0"/>
          <w:numId w:val="4"/>
        </w:numPr>
        <w:ind w:left="397" w:hanging="397"/>
      </w:pPr>
      <w:r w:rsidRPr="00CB0370">
        <w:rPr>
          <w:rStyle w:val="biblioChar"/>
          <w:b/>
          <w:bCs/>
        </w:rPr>
        <w:t>Locality</w:t>
      </w:r>
      <w:r w:rsidRPr="009D5E35">
        <w:t xml:space="preserve"> </w:t>
      </w:r>
      <w:r w:rsidRPr="00752013">
        <w:rPr>
          <w:b/>
          <w:bCs/>
        </w:rPr>
        <w:t>–</w:t>
      </w:r>
      <w:r w:rsidRPr="009D5E35">
        <w:t xml:space="preserve"> A permanently inhabited place that meets the following criteria:</w:t>
      </w:r>
    </w:p>
    <w:p w14:paraId="29618EB1" w14:textId="77777777" w:rsidR="00EB34FB" w:rsidRPr="009D5E35" w:rsidRDefault="00EB34FB" w:rsidP="00230FB8">
      <w:pPr>
        <w:pStyle w:val="body"/>
        <w:numPr>
          <w:ilvl w:val="0"/>
          <w:numId w:val="5"/>
        </w:numPr>
        <w:ind w:left="754" w:hanging="357"/>
      </w:pPr>
      <w:r w:rsidRPr="009D5E35">
        <w:t>It is usually inhabite</w:t>
      </w:r>
      <w:r w:rsidR="00F74E56">
        <w:t>d by 40 or more adult residents;</w:t>
      </w:r>
    </w:p>
    <w:p w14:paraId="1EABD27A" w14:textId="77777777" w:rsidR="00EB34FB" w:rsidRPr="009D5E35" w:rsidRDefault="00F74E56" w:rsidP="00230FB8">
      <w:pPr>
        <w:pStyle w:val="body"/>
        <w:numPr>
          <w:ilvl w:val="0"/>
          <w:numId w:val="5"/>
        </w:numPr>
        <w:ind w:left="754" w:hanging="357"/>
      </w:pPr>
      <w:r>
        <w:t>It has self-administration;</w:t>
      </w:r>
    </w:p>
    <w:p w14:paraId="40B6524F" w14:textId="77777777" w:rsidR="00EB34FB" w:rsidRPr="009D5E35" w:rsidRDefault="00EB34FB" w:rsidP="00230FB8">
      <w:pPr>
        <w:pStyle w:val="body"/>
        <w:numPr>
          <w:ilvl w:val="0"/>
          <w:numId w:val="5"/>
        </w:numPr>
        <w:ind w:left="754" w:hanging="357"/>
      </w:pPr>
      <w:r w:rsidRPr="009D5E35">
        <w:t xml:space="preserve">It is not </w:t>
      </w:r>
      <w:r w:rsidR="00F74E56">
        <w:t xml:space="preserve">included </w:t>
      </w:r>
      <w:r w:rsidR="00555387">
        <w:t>with</w:t>
      </w:r>
      <w:r w:rsidR="00F74E56">
        <w:t>in</w:t>
      </w:r>
      <w:r w:rsidR="00555387">
        <w:t xml:space="preserve"> the municipal boundaries of</w:t>
      </w:r>
      <w:r w:rsidR="00F74E56">
        <w:t xml:space="preserve"> another locality; </w:t>
      </w:r>
    </w:p>
    <w:p w14:paraId="2D807F2F" w14:textId="77777777" w:rsidR="00EB34FB" w:rsidRPr="009D5E35" w:rsidRDefault="00EB34FB" w:rsidP="00230FB8">
      <w:pPr>
        <w:pStyle w:val="body"/>
        <w:numPr>
          <w:ilvl w:val="0"/>
          <w:numId w:val="5"/>
        </w:numPr>
        <w:ind w:left="754" w:hanging="357"/>
      </w:pPr>
      <w:r w:rsidRPr="009D5E35">
        <w:t>Its establishment was approved by the planning institutions.</w:t>
      </w:r>
    </w:p>
    <w:p w14:paraId="359C09CA" w14:textId="77777777" w:rsidR="00EB34FB" w:rsidRPr="009D5E35" w:rsidRDefault="00367D04" w:rsidP="00E961C8">
      <w:pPr>
        <w:pStyle w:val="body"/>
        <w:ind w:left="397"/>
      </w:pPr>
      <w:r w:rsidRPr="009D5E35">
        <w:rPr>
          <w:b/>
          <w:bCs/>
        </w:rPr>
        <w:t xml:space="preserve">Locality code </w:t>
      </w:r>
      <w:r w:rsidRPr="00752013">
        <w:rPr>
          <w:b/>
          <w:bCs/>
        </w:rPr>
        <w:t>–</w:t>
      </w:r>
      <w:r w:rsidRPr="009D5E35">
        <w:t xml:space="preserve"> </w:t>
      </w:r>
      <w:r w:rsidR="00E60934" w:rsidRPr="009D5E35">
        <w:t>The l</w:t>
      </w:r>
      <w:r w:rsidRPr="009D5E35">
        <w:t xml:space="preserve">ocality </w:t>
      </w:r>
      <w:r w:rsidR="00E60934" w:rsidRPr="009D5E35">
        <w:t>coding system</w:t>
      </w:r>
      <w:r w:rsidRPr="009D5E35">
        <w:t xml:space="preserve"> (</w:t>
      </w:r>
      <w:r w:rsidR="00E60934" w:rsidRPr="009D5E35">
        <w:t>a 4 digit-code</w:t>
      </w:r>
      <w:r w:rsidRPr="009D5E35">
        <w:t xml:space="preserve"> assigned to each locality in </w:t>
      </w:r>
      <w:r w:rsidR="00E60934" w:rsidRPr="009D5E35">
        <w:t>Israel</w:t>
      </w:r>
      <w:r w:rsidRPr="009D5E35">
        <w:t>) was created in the 19</w:t>
      </w:r>
      <w:r w:rsidR="002670C4" w:rsidRPr="009D5E35">
        <w:t>50s by the Ministry of Interior</w:t>
      </w:r>
      <w:r w:rsidRPr="009D5E35">
        <w:t xml:space="preserve"> and is </w:t>
      </w:r>
      <w:r w:rsidR="0030058A" w:rsidRPr="009D5E35">
        <w:t xml:space="preserve">maintained </w:t>
      </w:r>
      <w:r w:rsidRPr="009D5E35">
        <w:t xml:space="preserve">today by the Population </w:t>
      </w:r>
      <w:r w:rsidR="0030058A" w:rsidRPr="009D5E35">
        <w:t xml:space="preserve">and Immigration </w:t>
      </w:r>
      <w:r w:rsidRPr="009D5E35">
        <w:t xml:space="preserve">Authority, mainly to aid </w:t>
      </w:r>
      <w:r w:rsidR="0096329B">
        <w:t xml:space="preserve">in </w:t>
      </w:r>
      <w:r w:rsidRPr="009D5E35">
        <w:t>the computerized operations of the Population Register</w:t>
      </w:r>
      <w:r w:rsidR="0030058A" w:rsidRPr="009D5E35">
        <w:t xml:space="preserve"> system</w:t>
      </w:r>
      <w:r w:rsidRPr="009D5E35">
        <w:t xml:space="preserve"> and in </w:t>
      </w:r>
      <w:r w:rsidR="00E60934" w:rsidRPr="009D5E35">
        <w:t xml:space="preserve">the </w:t>
      </w:r>
      <w:r w:rsidRPr="009D5E35">
        <w:t>recording of the addresses of the residents</w:t>
      </w:r>
      <w:r w:rsidR="00E60934" w:rsidRPr="009D5E35">
        <w:t xml:space="preserve"> in Israel</w:t>
      </w:r>
      <w:r w:rsidRPr="009D5E35">
        <w:t xml:space="preserve">. The system is dynamic and is updated in coordination with the </w:t>
      </w:r>
      <w:r w:rsidR="00C01ED6">
        <w:t>CBS</w:t>
      </w:r>
      <w:r w:rsidRPr="009D5E35">
        <w:t>.</w:t>
      </w:r>
    </w:p>
    <w:p w14:paraId="3E304A72" w14:textId="77777777" w:rsidR="00367D04" w:rsidRPr="009D5E35" w:rsidRDefault="00367D04" w:rsidP="00E961C8">
      <w:pPr>
        <w:pStyle w:val="body"/>
        <w:ind w:left="397"/>
      </w:pPr>
      <w:r w:rsidRPr="009D5E35">
        <w:rPr>
          <w:b/>
          <w:bCs/>
        </w:rPr>
        <w:t xml:space="preserve">Changes </w:t>
      </w:r>
      <w:r w:rsidR="00822DB7" w:rsidRPr="009D5E35">
        <w:rPr>
          <w:b/>
          <w:bCs/>
        </w:rPr>
        <w:t>in the</w:t>
      </w:r>
      <w:r w:rsidRPr="009D5E35">
        <w:rPr>
          <w:b/>
          <w:bCs/>
        </w:rPr>
        <w:t xml:space="preserve"> localities </w:t>
      </w:r>
      <w:r w:rsidRPr="00752013">
        <w:rPr>
          <w:b/>
          <w:bCs/>
        </w:rPr>
        <w:t>–</w:t>
      </w:r>
      <w:r w:rsidRPr="009D5E35">
        <w:t xml:space="preserve"> </w:t>
      </w:r>
      <w:r w:rsidR="0000194B" w:rsidRPr="009D5E35">
        <w:t xml:space="preserve">Each year, the list of localities of the </w:t>
      </w:r>
      <w:r w:rsidR="00C01ED6">
        <w:t>CBS</w:t>
      </w:r>
      <w:r w:rsidR="00822DB7" w:rsidRPr="009D5E35">
        <w:t xml:space="preserve"> undergoes changes due to a number of reasons</w:t>
      </w:r>
      <w:r w:rsidR="0000194B" w:rsidRPr="009D5E35">
        <w:t xml:space="preserve"> (in addition to the establishment of new localities):</w:t>
      </w:r>
    </w:p>
    <w:p w14:paraId="5DA4DCDE" w14:textId="77777777" w:rsidR="0000194B" w:rsidRPr="009D5E35" w:rsidRDefault="00822DB7" w:rsidP="00230FB8">
      <w:pPr>
        <w:pStyle w:val="body"/>
        <w:numPr>
          <w:ilvl w:val="0"/>
          <w:numId w:val="6"/>
        </w:numPr>
        <w:ind w:left="754" w:hanging="357"/>
      </w:pPr>
      <w:r w:rsidRPr="009D5E35">
        <w:t>Merging</w:t>
      </w:r>
      <w:r w:rsidR="0000194B" w:rsidRPr="009D5E35">
        <w:t xml:space="preserve"> of </w:t>
      </w:r>
      <w:r w:rsidRPr="009D5E35">
        <w:t>a number of</w:t>
      </w:r>
      <w:r w:rsidR="0000194B" w:rsidRPr="009D5E35">
        <w:t xml:space="preserve"> small localities into one locality. For example</w:t>
      </w:r>
      <w:r w:rsidRPr="009D5E35">
        <w:t>,</w:t>
      </w:r>
      <w:r w:rsidR="0000194B" w:rsidRPr="009D5E35">
        <w:t xml:space="preserve"> </w:t>
      </w:r>
      <w:proofErr w:type="spellStart"/>
      <w:r w:rsidR="00767EBE" w:rsidRPr="009D5E35">
        <w:t>Bu’eine</w:t>
      </w:r>
      <w:proofErr w:type="spellEnd"/>
      <w:r w:rsidR="00767EBE" w:rsidRPr="009D5E35">
        <w:t xml:space="preserve"> and </w:t>
      </w:r>
      <w:proofErr w:type="spellStart"/>
      <w:r w:rsidR="00767EBE" w:rsidRPr="009D5E35">
        <w:t>Nujeidat</w:t>
      </w:r>
      <w:proofErr w:type="spellEnd"/>
      <w:r w:rsidR="00767EBE" w:rsidRPr="009D5E35">
        <w:t xml:space="preserve"> </w:t>
      </w:r>
      <w:r w:rsidR="00F74E56">
        <w:t xml:space="preserve">were </w:t>
      </w:r>
      <w:r w:rsidRPr="009D5E35">
        <w:t>merged</w:t>
      </w:r>
      <w:r w:rsidR="00767EBE" w:rsidRPr="009D5E35">
        <w:t xml:space="preserve"> into one locality, </w:t>
      </w:r>
      <w:proofErr w:type="spellStart"/>
      <w:r w:rsidR="00767EBE" w:rsidRPr="009D5E35">
        <w:t>Bu’eine-Nujeidat</w:t>
      </w:r>
      <w:proofErr w:type="spellEnd"/>
      <w:r w:rsidR="00767EBE" w:rsidRPr="009D5E35">
        <w:t>.</w:t>
      </w:r>
    </w:p>
    <w:p w14:paraId="18BA083E" w14:textId="77777777" w:rsidR="00767EBE" w:rsidRPr="009D5E35" w:rsidRDefault="00822DB7" w:rsidP="00230FB8">
      <w:pPr>
        <w:pStyle w:val="body"/>
        <w:numPr>
          <w:ilvl w:val="0"/>
          <w:numId w:val="6"/>
        </w:numPr>
        <w:ind w:left="754" w:hanging="357"/>
      </w:pPr>
      <w:r w:rsidRPr="009D5E35">
        <w:lastRenderedPageBreak/>
        <w:t>Linkage of one or more small</w:t>
      </w:r>
      <w:r w:rsidR="00FF0AF7" w:rsidRPr="009D5E35">
        <w:t xml:space="preserve"> localities </w:t>
      </w:r>
      <w:r w:rsidRPr="009D5E35">
        <w:t>with a large locality. For example,</w:t>
      </w:r>
      <w:r w:rsidR="00FF0AF7" w:rsidRPr="009D5E35">
        <w:t xml:space="preserve"> </w:t>
      </w:r>
      <w:proofErr w:type="spellStart"/>
      <w:r w:rsidR="0030058A" w:rsidRPr="009D5E35">
        <w:t>Nahalat</w:t>
      </w:r>
      <w:proofErr w:type="spellEnd"/>
      <w:r w:rsidR="0030058A" w:rsidRPr="009D5E35">
        <w:t xml:space="preserve"> Yehuda was </w:t>
      </w:r>
      <w:r w:rsidRPr="009D5E35">
        <w:t>linked with</w:t>
      </w:r>
      <w:r w:rsidR="0030058A" w:rsidRPr="009D5E35">
        <w:t xml:space="preserve"> Rishon </w:t>
      </w:r>
      <w:proofErr w:type="spellStart"/>
      <w:r w:rsidR="0030058A" w:rsidRPr="009D5E35">
        <w:t>Leziyyon</w:t>
      </w:r>
      <w:proofErr w:type="spellEnd"/>
      <w:r w:rsidR="0030058A" w:rsidRPr="009D5E35">
        <w:t xml:space="preserve">, </w:t>
      </w:r>
      <w:proofErr w:type="spellStart"/>
      <w:r w:rsidR="0030058A" w:rsidRPr="009D5E35">
        <w:t>Moza</w:t>
      </w:r>
      <w:proofErr w:type="spellEnd"/>
      <w:r w:rsidR="0030058A" w:rsidRPr="009D5E35">
        <w:t xml:space="preserve"> </w:t>
      </w:r>
      <w:proofErr w:type="spellStart"/>
      <w:r w:rsidR="0030058A" w:rsidRPr="009D5E35">
        <w:t>Tahtit</w:t>
      </w:r>
      <w:proofErr w:type="spellEnd"/>
      <w:r w:rsidR="0030058A" w:rsidRPr="009D5E35">
        <w:t xml:space="preserve"> was </w:t>
      </w:r>
      <w:r w:rsidRPr="009D5E35">
        <w:t>linked with</w:t>
      </w:r>
      <w:r w:rsidR="0030058A" w:rsidRPr="009D5E35">
        <w:t xml:space="preserve"> Jerusalem, and </w:t>
      </w:r>
      <w:proofErr w:type="spellStart"/>
      <w:r w:rsidR="0030058A" w:rsidRPr="009D5E35">
        <w:t>Zur</w:t>
      </w:r>
      <w:proofErr w:type="spellEnd"/>
      <w:r w:rsidR="0030058A" w:rsidRPr="009D5E35">
        <w:t xml:space="preserve"> </w:t>
      </w:r>
      <w:proofErr w:type="spellStart"/>
      <w:r w:rsidR="0030058A" w:rsidRPr="009D5E35">
        <w:t>Yig</w:t>
      </w:r>
      <w:r w:rsidR="006333B3" w:rsidRPr="009D5E35">
        <w:t>’</w:t>
      </w:r>
      <w:r w:rsidR="0030058A" w:rsidRPr="009D5E35">
        <w:t>al</w:t>
      </w:r>
      <w:proofErr w:type="spellEnd"/>
      <w:r w:rsidR="0030058A" w:rsidRPr="009D5E35">
        <w:t xml:space="preserve"> was </w:t>
      </w:r>
      <w:r w:rsidRPr="009D5E35">
        <w:t>linked with</w:t>
      </w:r>
      <w:r w:rsidR="006333B3" w:rsidRPr="009D5E35">
        <w:t xml:space="preserve"> </w:t>
      </w:r>
      <w:proofErr w:type="spellStart"/>
      <w:r w:rsidR="006333B3" w:rsidRPr="009D5E35">
        <w:t>Kok</w:t>
      </w:r>
      <w:r w:rsidR="0030058A" w:rsidRPr="009D5E35">
        <w:t>hav</w:t>
      </w:r>
      <w:proofErr w:type="spellEnd"/>
      <w:r w:rsidR="0030058A" w:rsidRPr="009D5E35">
        <w:t xml:space="preserve"> </w:t>
      </w:r>
      <w:proofErr w:type="spellStart"/>
      <w:r w:rsidR="0030058A" w:rsidRPr="009D5E35">
        <w:t>Ya</w:t>
      </w:r>
      <w:r w:rsidRPr="009D5E35">
        <w:t>’</w:t>
      </w:r>
      <w:r w:rsidR="0030058A" w:rsidRPr="009D5E35">
        <w:t>ir</w:t>
      </w:r>
      <w:proofErr w:type="spellEnd"/>
      <w:r w:rsidR="0030058A" w:rsidRPr="009D5E35">
        <w:t>.</w:t>
      </w:r>
    </w:p>
    <w:p w14:paraId="33DAF2F6" w14:textId="2E933960" w:rsidR="00822DB7" w:rsidRPr="009D5E35" w:rsidRDefault="00822DB7" w:rsidP="00230FB8">
      <w:pPr>
        <w:pStyle w:val="body"/>
        <w:numPr>
          <w:ilvl w:val="0"/>
          <w:numId w:val="6"/>
        </w:numPr>
        <w:ind w:left="754" w:hanging="357"/>
      </w:pPr>
      <w:r w:rsidRPr="009D5E35">
        <w:t xml:space="preserve">Splitting of localities. For example, </w:t>
      </w:r>
      <w:proofErr w:type="spellStart"/>
      <w:r w:rsidRPr="009D5E35">
        <w:t>Ilut</w:t>
      </w:r>
      <w:proofErr w:type="spellEnd"/>
      <w:r w:rsidRPr="009D5E35">
        <w:t xml:space="preserve"> was split from Nazareth; </w:t>
      </w:r>
      <w:proofErr w:type="spellStart"/>
      <w:r w:rsidRPr="009D5E35">
        <w:t>Isifya</w:t>
      </w:r>
      <w:proofErr w:type="spellEnd"/>
      <w:r w:rsidRPr="009D5E35">
        <w:t xml:space="preserve"> was split from </w:t>
      </w:r>
      <w:proofErr w:type="spellStart"/>
      <w:r w:rsidRPr="009D5E35">
        <w:t>Dali</w:t>
      </w:r>
      <w:r w:rsidR="00F4170E" w:rsidRPr="009D5E35">
        <w:t>yat</w:t>
      </w:r>
      <w:proofErr w:type="spellEnd"/>
      <w:r w:rsidR="00F4170E" w:rsidRPr="009D5E35">
        <w:t xml:space="preserve"> Al-</w:t>
      </w:r>
      <w:proofErr w:type="spellStart"/>
      <w:r w:rsidR="00F4170E" w:rsidRPr="009D5E35">
        <w:t>Karmel</w:t>
      </w:r>
      <w:proofErr w:type="spellEnd"/>
      <w:r w:rsidR="00F4170E" w:rsidRPr="009D5E35">
        <w:t xml:space="preserve">; </w:t>
      </w:r>
      <w:r w:rsidR="00F74E56">
        <w:t xml:space="preserve">and </w:t>
      </w:r>
      <w:proofErr w:type="spellStart"/>
      <w:r w:rsidR="00F4170E" w:rsidRPr="009D5E35">
        <w:t>Majd</w:t>
      </w:r>
      <w:proofErr w:type="spellEnd"/>
      <w:r w:rsidR="00F4170E" w:rsidRPr="009D5E35">
        <w:t xml:space="preserve"> Al-</w:t>
      </w:r>
      <w:proofErr w:type="spellStart"/>
      <w:r w:rsidR="006333B3" w:rsidRPr="009D5E35">
        <w:t>Kurum</w:t>
      </w:r>
      <w:proofErr w:type="spellEnd"/>
      <w:r w:rsidR="006333B3" w:rsidRPr="009D5E35">
        <w:t>, Deir A</w:t>
      </w:r>
      <w:r w:rsidRPr="009D5E35">
        <w:t>l-</w:t>
      </w:r>
      <w:proofErr w:type="spellStart"/>
      <w:r w:rsidRPr="009D5E35">
        <w:t>Asa</w:t>
      </w:r>
      <w:r w:rsidR="00CF519A" w:rsidRPr="009D5E35">
        <w:t>d</w:t>
      </w:r>
      <w:proofErr w:type="spellEnd"/>
      <w:r w:rsidR="00CF519A" w:rsidRPr="009D5E35">
        <w:t xml:space="preserve">, and </w:t>
      </w:r>
      <w:proofErr w:type="spellStart"/>
      <w:r w:rsidR="00CF519A" w:rsidRPr="009D5E35">
        <w:t>Bi’ne</w:t>
      </w:r>
      <w:proofErr w:type="spellEnd"/>
      <w:r w:rsidR="00CF519A" w:rsidRPr="009D5E35">
        <w:t xml:space="preserve"> were split from </w:t>
      </w:r>
      <w:proofErr w:type="spellStart"/>
      <w:r w:rsidR="00CF519A" w:rsidRPr="009D5E35">
        <w:t>Sha</w:t>
      </w:r>
      <w:r w:rsidRPr="009D5E35">
        <w:t>gor</w:t>
      </w:r>
      <w:proofErr w:type="spellEnd"/>
      <w:r w:rsidRPr="009D5E35">
        <w:t>.</w:t>
      </w:r>
    </w:p>
    <w:p w14:paraId="71A7A94C" w14:textId="77777777" w:rsidR="008C0981" w:rsidRPr="009D5E35" w:rsidRDefault="0096329B" w:rsidP="00230FB8">
      <w:pPr>
        <w:pStyle w:val="body"/>
        <w:numPr>
          <w:ilvl w:val="0"/>
          <w:numId w:val="6"/>
        </w:numPr>
        <w:ind w:left="754" w:hanging="357"/>
      </w:pPr>
      <w:r>
        <w:t>Elimination of localities: l</w:t>
      </w:r>
      <w:r w:rsidR="008C0981" w:rsidRPr="009D5E35">
        <w:t xml:space="preserve">ocalities that do not </w:t>
      </w:r>
      <w:r w:rsidR="008D5A2E">
        <w:t>meet the definition of locality,</w:t>
      </w:r>
      <w:r w:rsidR="008C0981" w:rsidRPr="009D5E35">
        <w:t xml:space="preserve"> or localities that were eliminated according to government decisions. For example, </w:t>
      </w:r>
      <w:r w:rsidR="008D5A2E">
        <w:t xml:space="preserve">since </w:t>
      </w:r>
      <w:r w:rsidR="008C0981" w:rsidRPr="009D5E35">
        <w:t>2005, the Israeli localities that were located in Gaza and four more localities in Northern Samaria are no longer included in the list of localities due to the evacuation of those localities under the implementation of the Disengagement Law, 2005.</w:t>
      </w:r>
    </w:p>
    <w:p w14:paraId="4816B1F5" w14:textId="77777777" w:rsidR="008C0981" w:rsidRPr="009D5E35" w:rsidRDefault="008C0981" w:rsidP="00E961C8">
      <w:pPr>
        <w:pStyle w:val="body"/>
        <w:ind w:left="397"/>
      </w:pPr>
      <w:r w:rsidRPr="009D5E35">
        <w:t>The changes result from decisions approved by the Minist</w:t>
      </w:r>
      <w:r w:rsidR="00490A0F">
        <w:t>er</w:t>
      </w:r>
      <w:r w:rsidRPr="009D5E35">
        <w:t xml:space="preserve"> of Interior.</w:t>
      </w:r>
    </w:p>
    <w:p w14:paraId="29B5ECD5" w14:textId="77777777" w:rsidR="00153958" w:rsidRPr="009D5E35" w:rsidRDefault="00153958" w:rsidP="00E961C8">
      <w:pPr>
        <w:pStyle w:val="body"/>
        <w:ind w:left="397"/>
      </w:pPr>
      <w:r w:rsidRPr="009D5E35">
        <w:rPr>
          <w:b/>
          <w:bCs/>
        </w:rPr>
        <w:t xml:space="preserve">Type of locality </w:t>
      </w:r>
      <w:r w:rsidRPr="00752013">
        <w:rPr>
          <w:b/>
          <w:bCs/>
        </w:rPr>
        <w:t>–</w:t>
      </w:r>
      <w:r w:rsidRPr="009D5E35">
        <w:t xml:space="preserve"> Classification of the localities into urban and rural, in accordance with the number of residents in the locality. The type of locality is determined, as far as possible, according to the actual situation and according to the following definitions. The localities are divided into two major groups: </w:t>
      </w:r>
      <w:r w:rsidRPr="009D5E35">
        <w:rPr>
          <w:b/>
          <w:bCs/>
        </w:rPr>
        <w:t>urban</w:t>
      </w:r>
      <w:r w:rsidRPr="009D5E35">
        <w:t xml:space="preserve"> localities and </w:t>
      </w:r>
      <w:r w:rsidRPr="009D5E35">
        <w:rPr>
          <w:b/>
          <w:bCs/>
        </w:rPr>
        <w:t>rural</w:t>
      </w:r>
      <w:r w:rsidRPr="009D5E35">
        <w:t xml:space="preserve"> localities. The distinction between them is based on the size of the locality.</w:t>
      </w:r>
    </w:p>
    <w:p w14:paraId="434B5F47" w14:textId="77777777" w:rsidR="00153958" w:rsidRPr="009D5E35" w:rsidRDefault="00153958" w:rsidP="00230FB8">
      <w:pPr>
        <w:pStyle w:val="body"/>
        <w:numPr>
          <w:ilvl w:val="0"/>
          <w:numId w:val="7"/>
        </w:numPr>
      </w:pPr>
      <w:r w:rsidRPr="009D5E35">
        <w:rPr>
          <w:b/>
          <w:bCs/>
        </w:rPr>
        <w:t>Urban localities</w:t>
      </w:r>
      <w:r w:rsidRPr="009D5E35">
        <w:t xml:space="preserve"> include all localities with 2,000 or more residents</w:t>
      </w:r>
      <w:r w:rsidR="00EC29C8" w:rsidRPr="009D5E35">
        <w:t>, and are classified by size groups.</w:t>
      </w:r>
    </w:p>
    <w:p w14:paraId="3D92ED9A" w14:textId="77777777" w:rsidR="00EC29C8" w:rsidRPr="009D5E35" w:rsidRDefault="00EC29C8" w:rsidP="00230FB8">
      <w:pPr>
        <w:pStyle w:val="body"/>
        <w:numPr>
          <w:ilvl w:val="0"/>
          <w:numId w:val="7"/>
        </w:numPr>
        <w:ind w:left="822" w:hanging="397"/>
      </w:pPr>
      <w:r w:rsidRPr="009D5E35">
        <w:rPr>
          <w:b/>
          <w:bCs/>
        </w:rPr>
        <w:t>Rural localities</w:t>
      </w:r>
      <w:r w:rsidRPr="009D5E35">
        <w:t xml:space="preserve"> include all localities with fewer than 2,000 residents, and are sub-divided as follows:</w:t>
      </w:r>
    </w:p>
    <w:p w14:paraId="48B1F95F" w14:textId="610CEBB8" w:rsidR="00EC29C8" w:rsidRPr="009D5E35" w:rsidRDefault="00EC29C8" w:rsidP="00E961C8">
      <w:pPr>
        <w:pStyle w:val="body"/>
        <w:ind w:left="794"/>
      </w:pPr>
      <w:r w:rsidRPr="009D5E35">
        <w:rPr>
          <w:b/>
          <w:bCs/>
        </w:rPr>
        <w:t>Moshav</w:t>
      </w:r>
      <w:r w:rsidRPr="009D5E35">
        <w:t xml:space="preserve"> </w:t>
      </w:r>
      <w:r w:rsidRPr="00752013">
        <w:rPr>
          <w:b/>
          <w:bCs/>
        </w:rPr>
        <w:t>–</w:t>
      </w:r>
      <w:r w:rsidRPr="009D5E35">
        <w:t xml:space="preserve"> A rural locality organized as a cooperative society, which has the right to </w:t>
      </w:r>
      <w:r w:rsidR="00D207AA" w:rsidRPr="009D5E35">
        <w:t>agricultural farm land (as defined by the Israel Land Administration). These localities consist of family units, each of which is an independent economic entity.</w:t>
      </w:r>
      <w:r w:rsidR="00F74E56">
        <w:t xml:space="preserve"> </w:t>
      </w:r>
      <w:r w:rsidR="00D207AA" w:rsidRPr="009D5E35">
        <w:t>Part of the production and economic administration is carried out by the cooperative association, the degree of cooperation being determined by the members.</w:t>
      </w:r>
    </w:p>
    <w:p w14:paraId="6EB895D7" w14:textId="77777777" w:rsidR="00D207AA" w:rsidRPr="009D5E35" w:rsidRDefault="00D207AA" w:rsidP="00E961C8">
      <w:pPr>
        <w:pStyle w:val="body"/>
        <w:ind w:left="794"/>
      </w:pPr>
      <w:r w:rsidRPr="009D5E35">
        <w:rPr>
          <w:b/>
          <w:bCs/>
        </w:rPr>
        <w:t>Collective moshav</w:t>
      </w:r>
      <w:r w:rsidRPr="009D5E35">
        <w:t xml:space="preserve"> </w:t>
      </w:r>
      <w:r w:rsidRPr="00752013">
        <w:rPr>
          <w:b/>
          <w:bCs/>
        </w:rPr>
        <w:t>–</w:t>
      </w:r>
      <w:r w:rsidRPr="009D5E35">
        <w:t xml:space="preserve"> A rural collective locality where production and marketing are collective and consumption is private.</w:t>
      </w:r>
    </w:p>
    <w:p w14:paraId="3A593B43" w14:textId="77777777" w:rsidR="00D207AA" w:rsidRPr="009D5E35" w:rsidRDefault="00D207AA" w:rsidP="00E961C8">
      <w:pPr>
        <w:pStyle w:val="body"/>
        <w:ind w:left="794"/>
      </w:pPr>
      <w:r w:rsidRPr="009D5E35">
        <w:rPr>
          <w:b/>
          <w:bCs/>
        </w:rPr>
        <w:t xml:space="preserve">Kibbutz </w:t>
      </w:r>
      <w:r w:rsidRPr="00752013">
        <w:rPr>
          <w:b/>
          <w:bCs/>
        </w:rPr>
        <w:t xml:space="preserve">– </w:t>
      </w:r>
      <w:r w:rsidRPr="009D5E35">
        <w:t>A collective rural locality where production, marketing, and consumption are collective.</w:t>
      </w:r>
    </w:p>
    <w:p w14:paraId="0C435162" w14:textId="77777777" w:rsidR="00D207AA" w:rsidRPr="009D5E35" w:rsidRDefault="00D207AA" w:rsidP="00E961C8">
      <w:pPr>
        <w:pStyle w:val="body"/>
        <w:ind w:left="794"/>
      </w:pPr>
      <w:r w:rsidRPr="009D5E35">
        <w:rPr>
          <w:b/>
          <w:bCs/>
        </w:rPr>
        <w:t xml:space="preserve">Institutional locality </w:t>
      </w:r>
      <w:r w:rsidRPr="00752013">
        <w:rPr>
          <w:b/>
          <w:bCs/>
        </w:rPr>
        <w:t>–</w:t>
      </w:r>
      <w:r w:rsidRPr="009D5E35">
        <w:t xml:space="preserve"> An institution that has the characteristics of a locality and is not </w:t>
      </w:r>
      <w:r w:rsidR="008D5A2E">
        <w:t>locate</w:t>
      </w:r>
      <w:r w:rsidR="0096329B">
        <w:t>d</w:t>
      </w:r>
      <w:r w:rsidR="008D5A2E">
        <w:t xml:space="preserve"> </w:t>
      </w:r>
      <w:r w:rsidRPr="009D5E35">
        <w:t>within the municipal boundaries of another locality.</w:t>
      </w:r>
    </w:p>
    <w:p w14:paraId="0D95E07D" w14:textId="77777777" w:rsidR="00D207AA" w:rsidRPr="009D5E35" w:rsidRDefault="00D207AA" w:rsidP="00E961C8">
      <w:pPr>
        <w:pStyle w:val="body"/>
        <w:ind w:left="794"/>
      </w:pPr>
      <w:r w:rsidRPr="009D5E35">
        <w:rPr>
          <w:b/>
          <w:bCs/>
        </w:rPr>
        <w:t xml:space="preserve">Communal locality </w:t>
      </w:r>
      <w:r w:rsidRPr="00752013">
        <w:rPr>
          <w:b/>
          <w:bCs/>
        </w:rPr>
        <w:t>–</w:t>
      </w:r>
      <w:r w:rsidRPr="009D5E35">
        <w:t xml:space="preserve"> A locality organized as a cooperative society, which has no right to </w:t>
      </w:r>
      <w:r w:rsidR="0096329B">
        <w:t xml:space="preserve">agricultural </w:t>
      </w:r>
      <w:r w:rsidRPr="009D5E35">
        <w:t xml:space="preserve">farm land, and where the extent of cooperative </w:t>
      </w:r>
      <w:r w:rsidRPr="009D5E35">
        <w:lastRenderedPageBreak/>
        <w:t>activities (production, consumption, municipal and social activities) is determined by the members.</w:t>
      </w:r>
    </w:p>
    <w:p w14:paraId="49D1E49D" w14:textId="1E40DBF5" w:rsidR="00D207AA" w:rsidRPr="009D5E35" w:rsidRDefault="00D207AA" w:rsidP="003D0129">
      <w:pPr>
        <w:pStyle w:val="body"/>
        <w:ind w:left="794"/>
      </w:pPr>
      <w:r w:rsidRPr="009D5E35">
        <w:rPr>
          <w:b/>
          <w:bCs/>
        </w:rPr>
        <w:t xml:space="preserve">Other rural locality </w:t>
      </w:r>
      <w:r w:rsidRPr="00752013">
        <w:rPr>
          <w:b/>
          <w:bCs/>
        </w:rPr>
        <w:t xml:space="preserve">– </w:t>
      </w:r>
      <w:r w:rsidRPr="009D5E35">
        <w:t xml:space="preserve">A locality </w:t>
      </w:r>
      <w:r w:rsidR="004E67DA" w:rsidRPr="009D5E35">
        <w:t xml:space="preserve">with </w:t>
      </w:r>
      <w:r w:rsidR="003D0129">
        <w:t>less</w:t>
      </w:r>
      <w:r w:rsidR="004E67DA" w:rsidRPr="009D5E35">
        <w:t xml:space="preserve"> than </w:t>
      </w:r>
      <w:r w:rsidRPr="009D5E35">
        <w:t xml:space="preserve">2,000 residents, which is not included in the categories </w:t>
      </w:r>
      <w:r w:rsidR="00C16517">
        <w:t xml:space="preserve">of rural communities </w:t>
      </w:r>
      <w:r w:rsidRPr="009D5E35">
        <w:t>described above.</w:t>
      </w:r>
    </w:p>
    <w:p w14:paraId="143C46A3" w14:textId="3942F895" w:rsidR="001C7068" w:rsidRPr="009D5E35" w:rsidRDefault="006A12C8" w:rsidP="00E961C8">
      <w:pPr>
        <w:pStyle w:val="body"/>
        <w:ind w:left="397"/>
      </w:pPr>
      <w:r w:rsidRPr="009D5E35">
        <w:rPr>
          <w:b/>
          <w:bCs/>
        </w:rPr>
        <w:t xml:space="preserve">Living outside localities </w:t>
      </w:r>
      <w:r w:rsidRPr="00752013">
        <w:rPr>
          <w:b/>
          <w:bCs/>
        </w:rPr>
        <w:t>–</w:t>
      </w:r>
      <w:r w:rsidRPr="009D5E35">
        <w:t xml:space="preserve"> Population groups living outside the boundaries of the recognized localities. </w:t>
      </w:r>
      <w:r w:rsidR="001C7068" w:rsidRPr="009D5E35">
        <w:t xml:space="preserve">In the places inhabited by this population, not all the definitions that characterize a locality (presented above) apply. Populations living outside localities also include the populations of places (see definition below), of Bedouin </w:t>
      </w:r>
      <w:r w:rsidR="008D5A2E">
        <w:t>tribes</w:t>
      </w:r>
      <w:r w:rsidR="001C7068" w:rsidRPr="009D5E35">
        <w:t>, and the populations of prisons located outside the municipal area of the locality.</w:t>
      </w:r>
    </w:p>
    <w:p w14:paraId="676E8865" w14:textId="594736E8" w:rsidR="00D207AA" w:rsidRPr="009D5E35" w:rsidRDefault="001C7068" w:rsidP="00E961C8">
      <w:pPr>
        <w:pStyle w:val="body"/>
        <w:ind w:left="794"/>
        <w:rPr>
          <w:b/>
          <w:bCs/>
        </w:rPr>
      </w:pPr>
      <w:r w:rsidRPr="009D5E35">
        <w:rPr>
          <w:b/>
          <w:bCs/>
        </w:rPr>
        <w:t xml:space="preserve">Place – </w:t>
      </w:r>
      <w:r w:rsidRPr="009D5E35">
        <w:t>A new area that has begun to be populated, but still does not meet the criteria for being defined as a locality</w:t>
      </w:r>
      <w:r w:rsidR="00D1266B">
        <w:rPr>
          <w:lang w:val="en-US"/>
        </w:rPr>
        <w:t>, or an area that was once a locality and was removed from the list of localities</w:t>
      </w:r>
      <w:r w:rsidRPr="009D5E35">
        <w:t>.</w:t>
      </w:r>
    </w:p>
    <w:p w14:paraId="167378D7" w14:textId="77777777" w:rsidR="001C7068" w:rsidRPr="009D5E35" w:rsidRDefault="001C7068" w:rsidP="00E961C8">
      <w:pPr>
        <w:pStyle w:val="body"/>
        <w:ind w:left="794"/>
      </w:pPr>
      <w:r w:rsidRPr="009D5E35">
        <w:rPr>
          <w:b/>
          <w:bCs/>
        </w:rPr>
        <w:t xml:space="preserve">Bedouin tribes – </w:t>
      </w:r>
      <w:r w:rsidRPr="009D5E35">
        <w:t>The Bedouin tribes are not included in the count of localities, although they are listed in the File of Localities published by the CBS each yea</w:t>
      </w:r>
      <w:r w:rsidR="009D07C8" w:rsidRPr="009D5E35">
        <w:t>r. The Bedouin tribe population is included in the summary tables of the population living outside localities.</w:t>
      </w:r>
    </w:p>
    <w:p w14:paraId="66EF8407" w14:textId="77777777" w:rsidR="009D07C8" w:rsidRPr="009D5E35" w:rsidRDefault="00BB59EB" w:rsidP="00230FB8">
      <w:pPr>
        <w:pStyle w:val="body"/>
        <w:numPr>
          <w:ilvl w:val="0"/>
          <w:numId w:val="15"/>
        </w:numPr>
        <w:rPr>
          <w:b/>
          <w:bCs/>
        </w:rPr>
      </w:pPr>
      <w:r w:rsidRPr="009D5E35">
        <w:rPr>
          <w:b/>
          <w:bCs/>
        </w:rPr>
        <w:t xml:space="preserve">Municipal status of localities </w:t>
      </w:r>
      <w:r w:rsidR="00FD7CDC" w:rsidRPr="009D5E35">
        <w:rPr>
          <w:b/>
          <w:bCs/>
        </w:rPr>
        <w:t xml:space="preserve">– </w:t>
      </w:r>
      <w:r w:rsidR="00FD7CDC" w:rsidRPr="009D5E35">
        <w:t>in accordance with legislative and administrative regulations, local authorities are divided into three types:</w:t>
      </w:r>
    </w:p>
    <w:p w14:paraId="0DA8FC07" w14:textId="1C1246C3" w:rsidR="00FD7CDC" w:rsidRPr="009D5E35" w:rsidRDefault="00FD3C95" w:rsidP="00230FB8">
      <w:pPr>
        <w:pStyle w:val="body"/>
        <w:numPr>
          <w:ilvl w:val="0"/>
          <w:numId w:val="8"/>
        </w:numPr>
        <w:rPr>
          <w:b/>
          <w:bCs/>
        </w:rPr>
      </w:pPr>
      <w:r w:rsidRPr="009D5E35">
        <w:rPr>
          <w:b/>
          <w:bCs/>
        </w:rPr>
        <w:t xml:space="preserve">Municipality – </w:t>
      </w:r>
      <w:r w:rsidRPr="009D5E35">
        <w:t>Refers to one local authority only, which has received the status of a municipality</w:t>
      </w:r>
      <w:r w:rsidR="00893D76">
        <w:t>;</w:t>
      </w:r>
    </w:p>
    <w:p w14:paraId="26D95935" w14:textId="04317093" w:rsidR="00FD3C95" w:rsidRPr="009D5E35" w:rsidRDefault="00FD3C95" w:rsidP="00230FB8">
      <w:pPr>
        <w:pStyle w:val="body"/>
        <w:numPr>
          <w:ilvl w:val="0"/>
          <w:numId w:val="8"/>
        </w:numPr>
        <w:rPr>
          <w:b/>
          <w:bCs/>
        </w:rPr>
      </w:pPr>
      <w:r w:rsidRPr="009D5E35">
        <w:rPr>
          <w:b/>
          <w:bCs/>
        </w:rPr>
        <w:t xml:space="preserve">Local council – </w:t>
      </w:r>
      <w:r w:rsidRPr="009D5E35">
        <w:t>A local authority of one locality only, which has not received the status of a municipality</w:t>
      </w:r>
      <w:r w:rsidR="00893D76">
        <w:rPr>
          <w:b/>
          <w:bCs/>
        </w:rPr>
        <w:t>;</w:t>
      </w:r>
    </w:p>
    <w:p w14:paraId="64B4BA8E" w14:textId="77B860AF" w:rsidR="00BC771E" w:rsidRPr="007D064C" w:rsidRDefault="00FD3C95" w:rsidP="007D064C">
      <w:pPr>
        <w:pStyle w:val="body"/>
        <w:numPr>
          <w:ilvl w:val="0"/>
          <w:numId w:val="8"/>
        </w:numPr>
        <w:rPr>
          <w:b/>
        </w:rPr>
      </w:pPr>
      <w:r w:rsidRPr="009D5E35">
        <w:rPr>
          <w:b/>
          <w:bCs/>
        </w:rPr>
        <w:t xml:space="preserve">Regional council – </w:t>
      </w:r>
      <w:r w:rsidRPr="009D5E35">
        <w:t xml:space="preserve">Includes several rural localities. </w:t>
      </w:r>
      <w:r w:rsidR="006333B3" w:rsidRPr="009D5E35">
        <w:t xml:space="preserve">Sometimes, urban localities are also included, e.g., </w:t>
      </w:r>
      <w:proofErr w:type="spellStart"/>
      <w:r w:rsidR="006333B3" w:rsidRPr="009D5E35">
        <w:t>Qesaryya</w:t>
      </w:r>
      <w:proofErr w:type="spellEnd"/>
      <w:r w:rsidR="006333B3" w:rsidRPr="009D5E35">
        <w:t xml:space="preserve"> (included in the regional council Hof </w:t>
      </w:r>
      <w:proofErr w:type="spellStart"/>
      <w:r w:rsidR="006333B3" w:rsidRPr="009D5E35">
        <w:t>HaKarmel</w:t>
      </w:r>
      <w:proofErr w:type="spellEnd"/>
      <w:r w:rsidR="006333B3" w:rsidRPr="009D5E35">
        <w:t xml:space="preserve">), </w:t>
      </w:r>
      <w:proofErr w:type="spellStart"/>
      <w:r w:rsidR="006333B3" w:rsidRPr="009D5E35">
        <w:t>Kefar</w:t>
      </w:r>
      <w:proofErr w:type="spellEnd"/>
      <w:r w:rsidR="006333B3" w:rsidRPr="009D5E35">
        <w:t xml:space="preserve"> </w:t>
      </w:r>
      <w:proofErr w:type="spellStart"/>
      <w:r w:rsidR="006333B3" w:rsidRPr="009D5E35">
        <w:t>Habad</w:t>
      </w:r>
      <w:proofErr w:type="spellEnd"/>
      <w:r w:rsidR="00F4170E" w:rsidRPr="009D5E35">
        <w:t xml:space="preserve"> (included in the regional council </w:t>
      </w:r>
      <w:proofErr w:type="spellStart"/>
      <w:r w:rsidR="00F4170E" w:rsidRPr="009D5E35">
        <w:t>Emek</w:t>
      </w:r>
      <w:proofErr w:type="spellEnd"/>
      <w:r w:rsidR="00F4170E" w:rsidRPr="009D5E35">
        <w:t xml:space="preserve"> Lod).</w:t>
      </w:r>
      <w:r w:rsidR="00BC771E" w:rsidRPr="009D5E35">
        <w:t xml:space="preserve"> Some of these urban localities are later granted the status of a local council.</w:t>
      </w:r>
      <w:r w:rsidR="00F93FB8">
        <w:rPr>
          <w:b/>
          <w:bCs/>
        </w:rPr>
        <w:t xml:space="preserve"> </w:t>
      </w:r>
      <w:r w:rsidR="00BC771E" w:rsidRPr="009D5E35">
        <w:t>Included in regional councils are localities which have a representative on the council, as well as localities that are within the municipal jurisdiction of the council but are not represented on it.</w:t>
      </w:r>
    </w:p>
    <w:p w14:paraId="0465C377" w14:textId="09FF538F" w:rsidR="00BC771E" w:rsidRPr="009D5E35" w:rsidRDefault="00BC771E" w:rsidP="00DE2A44">
      <w:pPr>
        <w:pStyle w:val="body"/>
      </w:pPr>
      <w:r w:rsidRPr="009D5E35">
        <w:t>In addition to the above, there are localities</w:t>
      </w:r>
      <w:r w:rsidRPr="009D5E35">
        <w:rPr>
          <w:b/>
          <w:bCs/>
        </w:rPr>
        <w:t xml:space="preserve"> with no municipal status</w:t>
      </w:r>
      <w:r w:rsidRPr="009D5E35">
        <w:t>, i.e., located in an area that does not belong to any municipal authority.</w:t>
      </w:r>
    </w:p>
    <w:p w14:paraId="4F085298" w14:textId="77777777" w:rsidR="00BC771E" w:rsidRPr="009D5E35" w:rsidRDefault="00BC771E" w:rsidP="00DE2A44">
      <w:pPr>
        <w:pStyle w:val="body"/>
      </w:pPr>
      <w:r w:rsidRPr="009D5E35">
        <w:t xml:space="preserve">The </w:t>
      </w:r>
      <w:r w:rsidRPr="009D5E35">
        <w:rPr>
          <w:b/>
          <w:bCs/>
        </w:rPr>
        <w:t xml:space="preserve">municipal status of a locality may change </w:t>
      </w:r>
      <w:r w:rsidRPr="009D5E35">
        <w:t>over the years. A local council may receive the status of a municipality, a locality within a regional council may receive the status of a local council, and it is even possible for a locality to transfer from one regional council to another.</w:t>
      </w:r>
    </w:p>
    <w:p w14:paraId="0D556B10" w14:textId="77777777" w:rsidR="009A3737" w:rsidRDefault="009A3737">
      <w:pPr>
        <w:rPr>
          <w:rFonts w:asciiTheme="minorBidi" w:hAnsiTheme="minorBidi"/>
          <w:b/>
          <w:bCs/>
          <w:sz w:val="24"/>
          <w:szCs w:val="24"/>
        </w:rPr>
      </w:pPr>
      <w:r>
        <w:rPr>
          <w:b/>
          <w:bCs/>
        </w:rPr>
        <w:br w:type="page"/>
      </w:r>
    </w:p>
    <w:p w14:paraId="20F8F020" w14:textId="77777777" w:rsidR="00BC771E" w:rsidRPr="009D5E35" w:rsidRDefault="00BC771E" w:rsidP="00DE2A44">
      <w:pPr>
        <w:pStyle w:val="body"/>
      </w:pPr>
      <w:r w:rsidRPr="009D5E35">
        <w:rPr>
          <w:b/>
          <w:bCs/>
        </w:rPr>
        <w:lastRenderedPageBreak/>
        <w:t>Changes in the list of regional councils</w:t>
      </w:r>
      <w:r w:rsidRPr="009D5E35">
        <w:t xml:space="preserve"> over the years </w:t>
      </w:r>
      <w:r w:rsidR="00F74E56">
        <w:t>can</w:t>
      </w:r>
      <w:r w:rsidRPr="009D5E35">
        <w:t xml:space="preserve"> occur due to the following reasons:</w:t>
      </w:r>
    </w:p>
    <w:p w14:paraId="0920AEA8" w14:textId="23353E3D" w:rsidR="00BC771E" w:rsidRPr="009D5E35" w:rsidRDefault="00BC771E" w:rsidP="004F029C">
      <w:pPr>
        <w:pStyle w:val="body"/>
        <w:numPr>
          <w:ilvl w:val="0"/>
          <w:numId w:val="9"/>
        </w:numPr>
        <w:ind w:left="426" w:hanging="426"/>
      </w:pPr>
      <w:r w:rsidRPr="009D5E35">
        <w:t xml:space="preserve">Merging of regional councils – </w:t>
      </w:r>
      <w:r w:rsidR="006A0CA4" w:rsidRPr="009D5E35">
        <w:t xml:space="preserve">For example, the regional council Lev </w:t>
      </w:r>
      <w:proofErr w:type="spellStart"/>
      <w:r w:rsidR="006A0CA4" w:rsidRPr="009D5E35">
        <w:t>HaSharon</w:t>
      </w:r>
      <w:proofErr w:type="spellEnd"/>
      <w:r w:rsidR="006A0CA4" w:rsidRPr="009D5E35">
        <w:t xml:space="preserve"> merged the former regional councils Hadar </w:t>
      </w:r>
      <w:proofErr w:type="spellStart"/>
      <w:r w:rsidR="006A0CA4" w:rsidRPr="009D5E35">
        <w:t>HaSharon</w:t>
      </w:r>
      <w:proofErr w:type="spellEnd"/>
      <w:r w:rsidR="006A0CA4" w:rsidRPr="009D5E35">
        <w:t xml:space="preserve"> and </w:t>
      </w:r>
      <w:proofErr w:type="spellStart"/>
      <w:r w:rsidR="006A0CA4" w:rsidRPr="009D5E35">
        <w:t>HaSharon</w:t>
      </w:r>
      <w:proofErr w:type="spellEnd"/>
      <w:r w:rsidR="006A0CA4" w:rsidRPr="009D5E35">
        <w:t xml:space="preserve"> </w:t>
      </w:r>
      <w:proofErr w:type="spellStart"/>
      <w:r w:rsidR="006A0CA4" w:rsidRPr="009D5E35">
        <w:t>HaTzefoni</w:t>
      </w:r>
      <w:proofErr w:type="spellEnd"/>
      <w:r w:rsidR="006A0CA4" w:rsidRPr="009D5E35">
        <w:t>.</w:t>
      </w:r>
    </w:p>
    <w:p w14:paraId="45D90AE5" w14:textId="4CA160DB" w:rsidR="006A0CA4" w:rsidRPr="009D5E35" w:rsidRDefault="006A0CA4" w:rsidP="004F029C">
      <w:pPr>
        <w:pStyle w:val="body"/>
        <w:numPr>
          <w:ilvl w:val="0"/>
          <w:numId w:val="9"/>
        </w:numPr>
        <w:ind w:left="426" w:hanging="426"/>
      </w:pPr>
      <w:r w:rsidRPr="009D5E35">
        <w:t xml:space="preserve">Elimination of regional councils – For example, the regional council </w:t>
      </w:r>
      <w:proofErr w:type="spellStart"/>
      <w:r w:rsidRPr="009D5E35">
        <w:t>Merkaz</w:t>
      </w:r>
      <w:proofErr w:type="spellEnd"/>
      <w:r w:rsidRPr="009D5E35">
        <w:t xml:space="preserve"> </w:t>
      </w:r>
      <w:proofErr w:type="spellStart"/>
      <w:r w:rsidRPr="009D5E35">
        <w:t>HaGalil</w:t>
      </w:r>
      <w:proofErr w:type="spellEnd"/>
      <w:r w:rsidRPr="009D5E35">
        <w:t xml:space="preserve"> was eliminated in 1990</w:t>
      </w:r>
      <w:r w:rsidR="00490A0F">
        <w:t>, and a</w:t>
      </w:r>
      <w:r w:rsidRPr="009D5E35">
        <w:t>ll of the localities in that regional council were granted the status of local councils. In 2008 the region</w:t>
      </w:r>
      <w:r w:rsidR="00490A0F">
        <w:t xml:space="preserve">al council </w:t>
      </w:r>
      <w:proofErr w:type="spellStart"/>
      <w:r w:rsidR="00490A0F">
        <w:t>Ef’al</w:t>
      </w:r>
      <w:proofErr w:type="spellEnd"/>
      <w:r w:rsidR="00490A0F">
        <w:t xml:space="preserve"> was eliminated, and</w:t>
      </w:r>
      <w:r w:rsidRPr="009D5E35">
        <w:t xml:space="preserve"> all of the localities in that regional council were annexed to nearby localities.</w:t>
      </w:r>
    </w:p>
    <w:p w14:paraId="3283BEF2" w14:textId="77777777" w:rsidR="006A0CA4" w:rsidRPr="009D5E35" w:rsidRDefault="004E6E5E" w:rsidP="004F029C">
      <w:pPr>
        <w:pStyle w:val="body"/>
        <w:numPr>
          <w:ilvl w:val="0"/>
          <w:numId w:val="9"/>
        </w:numPr>
        <w:ind w:left="426" w:hanging="426"/>
      </w:pPr>
      <w:r w:rsidRPr="009D5E35">
        <w:t>Sp</w:t>
      </w:r>
      <w:r w:rsidR="006A0CA4" w:rsidRPr="009D5E35">
        <w:t xml:space="preserve">litting of regional councils – For example, the regional council </w:t>
      </w:r>
      <w:proofErr w:type="spellStart"/>
      <w:r w:rsidR="006A0CA4" w:rsidRPr="009D5E35">
        <w:t>Nof</w:t>
      </w:r>
      <w:proofErr w:type="spellEnd"/>
      <w:r w:rsidR="006A0CA4" w:rsidRPr="009D5E35">
        <w:t xml:space="preserve"> </w:t>
      </w:r>
      <w:proofErr w:type="spellStart"/>
      <w:r w:rsidR="006A0CA4" w:rsidRPr="009D5E35">
        <w:t>HaGalil</w:t>
      </w:r>
      <w:proofErr w:type="spellEnd"/>
      <w:r w:rsidR="006A0CA4" w:rsidRPr="009D5E35">
        <w:t xml:space="preserve"> was split in 2000 into two regional councils: Bustan El-Marj and Al-</w:t>
      </w:r>
      <w:proofErr w:type="spellStart"/>
      <w:r w:rsidR="006A0CA4" w:rsidRPr="009D5E35">
        <w:t>Batof</w:t>
      </w:r>
      <w:proofErr w:type="spellEnd"/>
      <w:r w:rsidR="006A0CA4" w:rsidRPr="009D5E35">
        <w:t>.</w:t>
      </w:r>
    </w:p>
    <w:p w14:paraId="034115E5" w14:textId="77777777" w:rsidR="006A0CA4" w:rsidRPr="009D5E35" w:rsidRDefault="006A0CA4" w:rsidP="004F029C">
      <w:pPr>
        <w:pStyle w:val="body"/>
        <w:numPr>
          <w:ilvl w:val="0"/>
          <w:numId w:val="9"/>
        </w:numPr>
        <w:ind w:left="426" w:hanging="426"/>
      </w:pPr>
      <w:r w:rsidRPr="009D5E35">
        <w:t>Creation of new regional councils – New regional councils are usually established in areas that had no municipal status. In some cases, localities within existing regional councils are transferred to the new regional councils. For example, Jewish localities in the Golan Heights and the Judea and Samaria Area had no municipal status in the past. Later, they were ascribed to the new regional councils established in those regions.</w:t>
      </w:r>
    </w:p>
    <w:p w14:paraId="72F1ACB5" w14:textId="77777777" w:rsidR="002670C4" w:rsidRPr="00DF6754" w:rsidRDefault="002670C4" w:rsidP="00510AFF">
      <w:pPr>
        <w:pStyle w:val="2"/>
        <w:numPr>
          <w:ilvl w:val="0"/>
          <w:numId w:val="19"/>
        </w:numPr>
        <w:spacing w:before="360" w:after="240"/>
        <w:ind w:left="357" w:hanging="357"/>
      </w:pPr>
      <w:bookmarkStart w:id="29" w:name="_Toc127808125"/>
      <w:bookmarkStart w:id="30" w:name="_Toc371422"/>
      <w:bookmarkStart w:id="31" w:name="_Toc149219668"/>
      <w:r w:rsidRPr="009D5E35">
        <w:t>Geographic</w:t>
      </w:r>
      <w:r w:rsidR="00F72CC2" w:rsidRPr="009D5E35">
        <w:t>al</w:t>
      </w:r>
      <w:r w:rsidRPr="009D5E35">
        <w:t xml:space="preserve"> Basis of the Study</w:t>
      </w:r>
      <w:bookmarkEnd w:id="29"/>
      <w:bookmarkEnd w:id="30"/>
      <w:bookmarkEnd w:id="31"/>
    </w:p>
    <w:p w14:paraId="3C7B96A4" w14:textId="007A95E3" w:rsidR="002670C4" w:rsidRPr="009D5E35" w:rsidRDefault="002670C4" w:rsidP="005D0963">
      <w:pPr>
        <w:pStyle w:val="body"/>
      </w:pPr>
      <w:r w:rsidRPr="00EA03D7">
        <w:rPr>
          <w:b/>
          <w:bCs/>
        </w:rPr>
        <w:t xml:space="preserve">The </w:t>
      </w:r>
      <w:r w:rsidR="00A94A6E" w:rsidRPr="00EA03D7">
        <w:rPr>
          <w:b/>
          <w:bCs/>
        </w:rPr>
        <w:t>Peripherality Index</w:t>
      </w:r>
      <w:r w:rsidRPr="00EA03D7">
        <w:rPr>
          <w:b/>
          <w:bCs/>
        </w:rPr>
        <w:t xml:space="preserve"> </w:t>
      </w:r>
      <w:r w:rsidR="000B51B8" w:rsidRPr="00EA03D7">
        <w:rPr>
          <w:b/>
          <w:bCs/>
        </w:rPr>
        <w:t xml:space="preserve">2020 </w:t>
      </w:r>
      <w:r w:rsidRPr="00EA03D7">
        <w:rPr>
          <w:b/>
          <w:bCs/>
        </w:rPr>
        <w:t>was calculated for 1,21</w:t>
      </w:r>
      <w:r w:rsidR="00F93FB8" w:rsidRPr="00EA03D7">
        <w:rPr>
          <w:b/>
          <w:bCs/>
        </w:rPr>
        <w:t>3</w:t>
      </w:r>
      <w:r w:rsidRPr="00EA03D7">
        <w:rPr>
          <w:b/>
          <w:bCs/>
        </w:rPr>
        <w:t xml:space="preserve"> localities. These included 201 municipalities and local councils, and 1,0</w:t>
      </w:r>
      <w:r w:rsidR="00F93FB8" w:rsidRPr="00EA03D7">
        <w:rPr>
          <w:b/>
          <w:bCs/>
        </w:rPr>
        <w:t>12</w:t>
      </w:r>
      <w:r w:rsidRPr="00EA03D7">
        <w:rPr>
          <w:b/>
          <w:bCs/>
        </w:rPr>
        <w:t xml:space="preserve"> localities within 54 regional councils</w:t>
      </w:r>
      <w:r w:rsidRPr="009D5E35">
        <w:t xml:space="preserve">, according to their municipal status </w:t>
      </w:r>
      <w:r w:rsidRPr="00C03E49">
        <w:t>updated to the end of 20</w:t>
      </w:r>
      <w:r w:rsidR="00F93FB8" w:rsidRPr="00C03E49">
        <w:t>20</w:t>
      </w:r>
      <w:r w:rsidR="0054548E" w:rsidRPr="00C03E49">
        <w:t xml:space="preserve"> (</w:t>
      </w:r>
      <w:r w:rsidR="0054548E">
        <w:t xml:space="preserve">Central Bureau of Statistics, </w:t>
      </w:r>
      <w:r w:rsidR="005D0963" w:rsidRPr="005D0963">
        <w:t>2022</w:t>
      </w:r>
      <w:r w:rsidR="0054548E" w:rsidRPr="005D0963">
        <w:t>)</w:t>
      </w:r>
      <w:r w:rsidRPr="005D0963">
        <w:t>.</w:t>
      </w:r>
    </w:p>
    <w:p w14:paraId="6C4ED7EF" w14:textId="77777777" w:rsidR="002670C4" w:rsidRPr="009D5E35" w:rsidRDefault="002670C4" w:rsidP="00DE2A44">
      <w:pPr>
        <w:pStyle w:val="body"/>
      </w:pPr>
      <w:r w:rsidRPr="009D5E35">
        <w:t xml:space="preserve">Localities with no municipal status were not included in the calculation. In addition, the calculation of the index did not include populations living outside localities, such as Bedouin tribes, places, </w:t>
      </w:r>
      <w:r w:rsidR="001A5714">
        <w:t>employment</w:t>
      </w:r>
      <w:r w:rsidRPr="009D5E35">
        <w:t xml:space="preserve"> </w:t>
      </w:r>
      <w:r w:rsidRPr="001A5714">
        <w:t>centres</w:t>
      </w:r>
      <w:r w:rsidRPr="009D5E35">
        <w:t xml:space="preserve">, and </w:t>
      </w:r>
      <w:r w:rsidR="001A5714">
        <w:t>collective codes.</w:t>
      </w:r>
    </w:p>
    <w:p w14:paraId="27BEDB2B" w14:textId="0AEEA6E0" w:rsidR="002670C4" w:rsidRPr="00CB654E" w:rsidRDefault="00C03E49" w:rsidP="007D064C">
      <w:pPr>
        <w:pStyle w:val="body"/>
        <w:spacing w:after="120"/>
      </w:pPr>
      <w:r w:rsidRPr="00CB654E">
        <w:t xml:space="preserve">A number of municipal changes </w:t>
      </w:r>
      <w:r w:rsidR="00DA37DC" w:rsidRPr="00CB654E">
        <w:t xml:space="preserve">took </w:t>
      </w:r>
      <w:r w:rsidRPr="00CB654E">
        <w:t>place in the</w:t>
      </w:r>
      <w:r w:rsidR="00DA37DC" w:rsidRPr="00CB654E">
        <w:t xml:space="preserve"> localities and local authorities since the construction of the </w:t>
      </w:r>
      <w:r w:rsidRPr="00CB654E">
        <w:t>Peripherality Index 2015</w:t>
      </w:r>
      <w:r w:rsidR="00DA37DC" w:rsidRPr="00CB654E">
        <w:t>:</w:t>
      </w:r>
    </w:p>
    <w:p w14:paraId="275237BE" w14:textId="0DDD9F05" w:rsidR="00DA37DC" w:rsidRPr="00CB654E" w:rsidRDefault="00DA37DC" w:rsidP="007D064C">
      <w:pPr>
        <w:pStyle w:val="body"/>
        <w:numPr>
          <w:ilvl w:val="0"/>
          <w:numId w:val="4"/>
        </w:numPr>
        <w:spacing w:after="120"/>
        <w:ind w:left="357" w:hanging="357"/>
      </w:pPr>
      <w:r w:rsidRPr="00CB654E">
        <w:t xml:space="preserve">In </w:t>
      </w:r>
      <w:r w:rsidR="00C03E49" w:rsidRPr="00CB654E">
        <w:t>2016</w:t>
      </w:r>
      <w:r w:rsidR="008306A2">
        <w:t>–</w:t>
      </w:r>
      <w:r w:rsidR="00C03E49" w:rsidRPr="00CB654E">
        <w:t xml:space="preserve">2018 several new localities were </w:t>
      </w:r>
      <w:r w:rsidR="00C03E49" w:rsidRPr="00CB654E">
        <w:rPr>
          <w:lang w:val="en-US"/>
        </w:rPr>
        <w:t>established</w:t>
      </w:r>
      <w:r w:rsidRPr="00CB654E">
        <w:t xml:space="preserve">, </w:t>
      </w:r>
      <w:r w:rsidR="00C03E49" w:rsidRPr="00CB654E">
        <w:t>and some places</w:t>
      </w:r>
      <w:r w:rsidR="00C03E49" w:rsidRPr="00CB654E">
        <w:rPr>
          <w:lang w:val="en-US"/>
        </w:rPr>
        <w:t xml:space="preserve"> became rural localities</w:t>
      </w:r>
      <w:r w:rsidR="00CB654E" w:rsidRPr="00CB654E">
        <w:rPr>
          <w:lang w:val="en-US"/>
        </w:rPr>
        <w:t>:</w:t>
      </w:r>
      <w:r w:rsidR="00CB654E" w:rsidRPr="00CB654E">
        <w:t xml:space="preserve"> the locality Nurit in the regional council </w:t>
      </w:r>
      <w:proofErr w:type="spellStart"/>
      <w:r w:rsidR="00CB654E" w:rsidRPr="00CB654E">
        <w:t>Ha</w:t>
      </w:r>
      <w:r w:rsidR="00CB654E">
        <w:t>G</w:t>
      </w:r>
      <w:r w:rsidR="00CB654E" w:rsidRPr="00CB654E">
        <w:t>ilbo'a</w:t>
      </w:r>
      <w:proofErr w:type="spellEnd"/>
      <w:r w:rsidR="00CB654E" w:rsidRPr="00CB654E">
        <w:t xml:space="preserve">, the locality </w:t>
      </w:r>
      <w:proofErr w:type="spellStart"/>
      <w:r w:rsidR="00CB654E" w:rsidRPr="00CB654E">
        <w:t>Karme</w:t>
      </w:r>
      <w:proofErr w:type="spellEnd"/>
      <w:r w:rsidR="00CB654E" w:rsidRPr="00CB654E">
        <w:t xml:space="preserve"> </w:t>
      </w:r>
      <w:proofErr w:type="spellStart"/>
      <w:r w:rsidR="00CB654E" w:rsidRPr="00CB654E">
        <w:t>Katif</w:t>
      </w:r>
      <w:proofErr w:type="spellEnd"/>
      <w:r w:rsidR="00CB654E" w:rsidRPr="00CB654E">
        <w:t xml:space="preserve"> in the regional council </w:t>
      </w:r>
      <w:proofErr w:type="spellStart"/>
      <w:r w:rsidR="00CB654E" w:rsidRPr="00CB654E">
        <w:t>Lakhish</w:t>
      </w:r>
      <w:proofErr w:type="spellEnd"/>
      <w:r w:rsidR="00CB654E" w:rsidRPr="00CB654E">
        <w:t xml:space="preserve">, the locality Shave </w:t>
      </w:r>
      <w:proofErr w:type="spellStart"/>
      <w:r w:rsidR="00CB654E" w:rsidRPr="00CB654E">
        <w:t>Darom</w:t>
      </w:r>
      <w:proofErr w:type="spellEnd"/>
      <w:r w:rsidR="00CB654E" w:rsidRPr="00CB654E">
        <w:t xml:space="preserve"> in the regional council </w:t>
      </w:r>
      <w:proofErr w:type="spellStart"/>
      <w:r w:rsidR="00CB654E" w:rsidRPr="00CB654E">
        <w:t>Merhavim</w:t>
      </w:r>
      <w:proofErr w:type="spellEnd"/>
      <w:r w:rsidR="00CB654E" w:rsidRPr="00CB654E">
        <w:t xml:space="preserve">, the locality </w:t>
      </w:r>
      <w:proofErr w:type="spellStart"/>
      <w:r w:rsidR="00CB654E" w:rsidRPr="00CB654E">
        <w:t>Ammihay</w:t>
      </w:r>
      <w:proofErr w:type="spellEnd"/>
      <w:r w:rsidR="00CB654E" w:rsidRPr="00CB654E">
        <w:t xml:space="preserve"> in the regional council Matte Binyamin, and the locality </w:t>
      </w:r>
      <w:proofErr w:type="spellStart"/>
      <w:r w:rsidR="00CB654E" w:rsidRPr="00CB654E">
        <w:t>Ruah</w:t>
      </w:r>
      <w:proofErr w:type="spellEnd"/>
      <w:r w:rsidR="00CB654E" w:rsidRPr="00CB654E">
        <w:t xml:space="preserve"> </w:t>
      </w:r>
      <w:proofErr w:type="spellStart"/>
      <w:r w:rsidR="00CB654E" w:rsidRPr="00CB654E">
        <w:t>Midbar</w:t>
      </w:r>
      <w:proofErr w:type="spellEnd"/>
      <w:r w:rsidR="00CB654E" w:rsidRPr="00CB654E">
        <w:t xml:space="preserve"> in the regional council Ramat Negev</w:t>
      </w:r>
      <w:r w:rsidR="00634FE5" w:rsidRPr="00CB654E">
        <w:t>.</w:t>
      </w:r>
    </w:p>
    <w:p w14:paraId="18313DE8" w14:textId="0A2A353F" w:rsidR="00CB654E" w:rsidRDefault="00634FE5" w:rsidP="00CB654E">
      <w:pPr>
        <w:pStyle w:val="body"/>
        <w:numPr>
          <w:ilvl w:val="0"/>
          <w:numId w:val="4"/>
        </w:numPr>
        <w:ind w:left="357" w:hanging="357"/>
      </w:pPr>
      <w:r w:rsidRPr="00CB654E">
        <w:t>In 20</w:t>
      </w:r>
      <w:r w:rsidR="00CB654E">
        <w:t>20</w:t>
      </w:r>
      <w:r w:rsidRPr="00CB654E">
        <w:t xml:space="preserve">, the </w:t>
      </w:r>
      <w:r w:rsidR="00CB654E">
        <w:t xml:space="preserve">locality </w:t>
      </w:r>
      <w:proofErr w:type="spellStart"/>
      <w:r w:rsidR="00CB654E">
        <w:t>Ma'ale</w:t>
      </w:r>
      <w:proofErr w:type="spellEnd"/>
      <w:r w:rsidR="00CB654E">
        <w:t xml:space="preserve"> </w:t>
      </w:r>
      <w:proofErr w:type="spellStart"/>
      <w:r w:rsidR="00CB654E">
        <w:t>Shomeron</w:t>
      </w:r>
      <w:proofErr w:type="spellEnd"/>
      <w:r w:rsidR="00CB654E">
        <w:t xml:space="preserve"> was</w:t>
      </w:r>
      <w:r w:rsidR="00E62FAC">
        <w:t xml:space="preserve"> </w:t>
      </w:r>
      <w:r w:rsidR="00E62FAC" w:rsidRPr="005E753B">
        <w:t>remov</w:t>
      </w:r>
      <w:r w:rsidR="00CB654E" w:rsidRPr="005E753B">
        <w:t>ed</w:t>
      </w:r>
      <w:r w:rsidR="00CB654E">
        <w:t xml:space="preserve"> from the list of localities of the regional council </w:t>
      </w:r>
      <w:proofErr w:type="spellStart"/>
      <w:r w:rsidR="00CB654E">
        <w:t>Shomeron</w:t>
      </w:r>
      <w:proofErr w:type="spellEnd"/>
      <w:r w:rsidR="00CB654E">
        <w:t xml:space="preserve"> and attached to the local council </w:t>
      </w:r>
      <w:proofErr w:type="spellStart"/>
      <w:r w:rsidR="00CB654E">
        <w:t>Qarne</w:t>
      </w:r>
      <w:proofErr w:type="spellEnd"/>
      <w:r w:rsidR="00CB654E">
        <w:t xml:space="preserve"> </w:t>
      </w:r>
      <w:proofErr w:type="spellStart"/>
      <w:r w:rsidR="00CB654E">
        <w:t>Shomeron</w:t>
      </w:r>
      <w:proofErr w:type="spellEnd"/>
      <w:r w:rsidR="00CB654E">
        <w:t>.</w:t>
      </w:r>
    </w:p>
    <w:p w14:paraId="3420A481" w14:textId="77777777" w:rsidR="00723E50" w:rsidRPr="009D5E35" w:rsidRDefault="00723E50" w:rsidP="004E0863">
      <w:pPr>
        <w:pStyle w:val="1"/>
      </w:pPr>
      <w:bookmarkStart w:id="32" w:name="_Toc127808126"/>
      <w:bookmarkStart w:id="33" w:name="_Toc371423"/>
      <w:bookmarkStart w:id="34" w:name="_Toc149219669"/>
      <w:r w:rsidRPr="009D5E35">
        <w:lastRenderedPageBreak/>
        <w:t>Potential Accessibility Index</w:t>
      </w:r>
      <w:bookmarkEnd w:id="32"/>
      <w:bookmarkEnd w:id="33"/>
      <w:bookmarkEnd w:id="34"/>
    </w:p>
    <w:p w14:paraId="6353BDAE" w14:textId="77777777" w:rsidR="00723E50" w:rsidRPr="009D5E35" w:rsidRDefault="00723E50" w:rsidP="00DE2A44">
      <w:pPr>
        <w:pStyle w:val="body"/>
      </w:pPr>
      <w:r w:rsidRPr="009D5E35">
        <w:t>From a geographical perspective that also includes an economic aspect, a peripheral region is defined as a region distant from (in other words, characterized by low accessibility to) opportunities (e.g., markets, jobs, and health services), activities (e.g., work, education, shopping, and leisure), or assets existing in all the regions, including the given region itself</w:t>
      </w:r>
      <w:r w:rsidR="009C5B93">
        <w:t xml:space="preserve"> (</w:t>
      </w:r>
      <w:proofErr w:type="spellStart"/>
      <w:r w:rsidR="009C5B93" w:rsidRPr="00D2661A">
        <w:t>Shürmann</w:t>
      </w:r>
      <w:proofErr w:type="spellEnd"/>
      <w:r w:rsidR="009C5B93">
        <w:t xml:space="preserve"> </w:t>
      </w:r>
      <w:r w:rsidR="009C5B93" w:rsidRPr="00D2661A">
        <w:t xml:space="preserve">&amp; </w:t>
      </w:r>
      <w:proofErr w:type="spellStart"/>
      <w:r w:rsidR="009C5B93" w:rsidRPr="00D2661A">
        <w:t>Talaat</w:t>
      </w:r>
      <w:proofErr w:type="spellEnd"/>
      <w:r w:rsidR="009C5B93">
        <w:t xml:space="preserve">, 2000, 2002; </w:t>
      </w:r>
      <w:proofErr w:type="spellStart"/>
      <w:r w:rsidR="003C5F8D" w:rsidRPr="00D2661A">
        <w:t>Spiekermann</w:t>
      </w:r>
      <w:proofErr w:type="spellEnd"/>
      <w:r w:rsidR="003C5F8D" w:rsidRPr="00D2661A">
        <w:t xml:space="preserve"> </w:t>
      </w:r>
      <w:r w:rsidR="003C5F8D">
        <w:t xml:space="preserve">&amp; Neubauer, 2002; </w:t>
      </w:r>
      <w:r w:rsidR="009C5B93" w:rsidRPr="00D2661A">
        <w:t xml:space="preserve">Wegener, </w:t>
      </w:r>
      <w:proofErr w:type="spellStart"/>
      <w:r w:rsidR="009C5B93" w:rsidRPr="00D2661A">
        <w:t>Eskelinen</w:t>
      </w:r>
      <w:proofErr w:type="spellEnd"/>
      <w:r w:rsidR="009C5B93" w:rsidRPr="00D2661A">
        <w:t xml:space="preserve">, </w:t>
      </w:r>
      <w:proofErr w:type="spellStart"/>
      <w:r w:rsidR="009C5B93" w:rsidRPr="00D2661A">
        <w:t>Fürst</w:t>
      </w:r>
      <w:proofErr w:type="spellEnd"/>
      <w:r w:rsidR="009C5B93" w:rsidRPr="00D2661A">
        <w:t xml:space="preserve">, </w:t>
      </w:r>
      <w:proofErr w:type="spellStart"/>
      <w:r w:rsidR="009C5B93" w:rsidRPr="00D2661A">
        <w:t>Schürmann</w:t>
      </w:r>
      <w:proofErr w:type="spellEnd"/>
      <w:r w:rsidR="009C5B93" w:rsidRPr="00D2661A">
        <w:t xml:space="preserve">, &amp; </w:t>
      </w:r>
      <w:proofErr w:type="spellStart"/>
      <w:r w:rsidR="009C5B93" w:rsidRPr="00D2661A">
        <w:t>Spiekermann</w:t>
      </w:r>
      <w:proofErr w:type="spellEnd"/>
      <w:r w:rsidR="009C5B93">
        <w:t>, 2000)</w:t>
      </w:r>
      <w:r w:rsidRPr="009D5E35">
        <w:t>.</w:t>
      </w:r>
      <w:r w:rsidR="00493A1C" w:rsidRPr="009D5E35">
        <w:t xml:space="preserve"> Thus, the concept of peripherality is the opposite of the concept of accessibility, which reflects the advantage</w:t>
      </w:r>
      <w:r w:rsidR="000320C0">
        <w:t>s</w:t>
      </w:r>
      <w:r w:rsidR="00493A1C" w:rsidRPr="009D5E35">
        <w:t xml:space="preserve"> of </w:t>
      </w:r>
      <w:r w:rsidR="000320C0">
        <w:t>a</w:t>
      </w:r>
      <w:r w:rsidR="00493A1C" w:rsidRPr="009D5E35">
        <w:t xml:space="preserve"> location of the region relative to other regions.</w:t>
      </w:r>
    </w:p>
    <w:p w14:paraId="1EA0ADBB" w14:textId="77777777" w:rsidR="00493A1C" w:rsidRPr="009D5E35" w:rsidRDefault="00493A1C" w:rsidP="0008683D">
      <w:pPr>
        <w:pStyle w:val="2"/>
        <w:numPr>
          <w:ilvl w:val="0"/>
          <w:numId w:val="20"/>
        </w:numPr>
        <w:spacing w:before="240" w:after="240"/>
        <w:ind w:left="357" w:hanging="357"/>
      </w:pPr>
      <w:bookmarkStart w:id="35" w:name="_Toc127808127"/>
      <w:bookmarkStart w:id="36" w:name="_Toc371424"/>
      <w:bookmarkStart w:id="37" w:name="_Toc149219670"/>
      <w:r w:rsidRPr="009D5E35">
        <w:t xml:space="preserve">Basic </w:t>
      </w:r>
      <w:r w:rsidRPr="00F47115">
        <w:t>Model</w:t>
      </w:r>
      <w:bookmarkEnd w:id="35"/>
      <w:bookmarkEnd w:id="36"/>
      <w:bookmarkEnd w:id="37"/>
    </w:p>
    <w:p w14:paraId="15359988" w14:textId="10709732" w:rsidR="00493A1C" w:rsidRPr="009D5E35" w:rsidRDefault="00493A1C" w:rsidP="00FA739E">
      <w:pPr>
        <w:pStyle w:val="body"/>
        <w:spacing w:after="120"/>
      </w:pPr>
      <w:r w:rsidRPr="009D5E35">
        <w:t xml:space="preserve">The literature includes many types of accessibility indices. Most can be presented as a </w:t>
      </w:r>
      <w:r w:rsidR="007E6F84" w:rsidRPr="009D5E35">
        <w:t>construct</w:t>
      </w:r>
      <w:r w:rsidR="000320C0">
        <w:t xml:space="preserve"> of two functions: o</w:t>
      </w:r>
      <w:r w:rsidRPr="009D5E35">
        <w:t xml:space="preserve">ne representing goals (activities or opportunities) that can be </w:t>
      </w:r>
      <w:r w:rsidR="007E6F84" w:rsidRPr="009D5E35">
        <w:t>reached</w:t>
      </w:r>
      <w:r w:rsidRPr="009D5E35">
        <w:t xml:space="preserve">, and the other representing the effort (in units of time, distance, or cost) required to </w:t>
      </w:r>
      <w:r w:rsidR="007E6F84" w:rsidRPr="009D5E35">
        <w:t>reach</w:t>
      </w:r>
      <w:r w:rsidRPr="009D5E35">
        <w:t xml:space="preserve"> them. </w:t>
      </w:r>
      <w:r w:rsidR="00B82699" w:rsidRPr="009D5E35">
        <w:t xml:space="preserve">In most of the approaches applied worldwide, the functions are associated multiplicatively, i.e., </w:t>
      </w:r>
      <w:r w:rsidR="00DD27AE">
        <w:t xml:space="preserve">they </w:t>
      </w:r>
      <w:r w:rsidR="00B82699" w:rsidRPr="009D5E35">
        <w:t>are weights to each other:</w:t>
      </w:r>
    </w:p>
    <w:p w14:paraId="3F7451EE" w14:textId="77777777" w:rsidR="00B82699" w:rsidRPr="00274FFF" w:rsidRDefault="00690ACF" w:rsidP="00274FFF">
      <w:pPr>
        <w:pStyle w:val="a3"/>
        <w:numPr>
          <w:ilvl w:val="0"/>
          <w:numId w:val="32"/>
        </w:numPr>
        <w:tabs>
          <w:tab w:val="left" w:pos="848"/>
        </w:tabs>
        <w:spacing w:after="0" w:line="360" w:lineRule="auto"/>
        <w:ind w:left="2552" w:hanging="2552"/>
        <w:rPr>
          <w:rFonts w:ascii="Arial" w:hAnsi="Arial" w:cs="Arial"/>
          <w:sz w:val="24"/>
          <w:szCs w:val="24"/>
          <w:lang w:val="en-US"/>
        </w:rPr>
      </w:pPr>
      <w:r w:rsidRPr="00223A65">
        <w:rPr>
          <w:rFonts w:asciiTheme="minorBidi" w:hAnsiTheme="minorBidi"/>
          <w:position w:val="-30"/>
          <w:sz w:val="24"/>
        </w:rPr>
        <w:object w:dxaOrig="1980" w:dyaOrig="700" w14:anchorId="69BE6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נגישות של אזור i שווה לסכום, לפי j מ-1 עד n, של פונקציית פעילות באזור j כפול פונקציית עיכוב הגעה מאזור i לאזור j&#10;&#10;&#10;&#10;&#10;&#10;&#10;&#10;" style="width:101.25pt;height:36.75pt;mso-position-vertical:absolute" o:ole="">
            <v:imagedata r:id="rId12" o:title=""/>
          </v:shape>
          <o:OLEObject Type="Embed" ProgID="Equation.3" ShapeID="_x0000_i1025" DrawAspect="Content" ObjectID="_1760333731" r:id="rId13"/>
        </w:object>
      </w:r>
    </w:p>
    <w:p w14:paraId="6C77E2E9" w14:textId="77777777" w:rsidR="00B82699" w:rsidRPr="009D5E35" w:rsidRDefault="00B82699" w:rsidP="00DE2A44">
      <w:pPr>
        <w:pStyle w:val="body"/>
      </w:pPr>
      <w:r w:rsidRPr="009D5E35">
        <w:t>where:</w:t>
      </w:r>
    </w:p>
    <w:p w14:paraId="4E490179" w14:textId="77777777" w:rsidR="00FB1173" w:rsidRPr="00A35857" w:rsidRDefault="00B82699" w:rsidP="00FA739E">
      <w:pPr>
        <w:pStyle w:val="body"/>
        <w:ind w:left="709"/>
      </w:pPr>
      <w:r w:rsidRPr="00A35857">
        <w:t>A</w:t>
      </w:r>
      <w:r w:rsidRPr="00A35857">
        <w:rPr>
          <w:vertAlign w:val="subscript"/>
        </w:rPr>
        <w:t>i</w:t>
      </w:r>
      <w:r w:rsidRPr="00A35857">
        <w:rPr>
          <w:vertAlign w:val="subscript"/>
        </w:rPr>
        <w:tab/>
      </w:r>
      <w:r w:rsidR="00C12D77" w:rsidRPr="00A35857">
        <w:t>–</w:t>
      </w:r>
      <w:r w:rsidR="00451501" w:rsidRPr="00A35857">
        <w:t xml:space="preserve"> </w:t>
      </w:r>
      <w:r w:rsidR="00193F14" w:rsidRPr="00A35857">
        <w:t xml:space="preserve">accessibility of region </w:t>
      </w:r>
      <w:proofErr w:type="spellStart"/>
      <w:r w:rsidR="00193F14" w:rsidRPr="00A35857">
        <w:t>i</w:t>
      </w:r>
      <w:proofErr w:type="spellEnd"/>
    </w:p>
    <w:p w14:paraId="61CA7079" w14:textId="77777777" w:rsidR="00493A1C" w:rsidRPr="00A35857" w:rsidRDefault="00FB1173" w:rsidP="00FA739E">
      <w:pPr>
        <w:pStyle w:val="body"/>
        <w:ind w:left="709"/>
      </w:pPr>
      <w:r w:rsidRPr="00A35857">
        <w:t>n</w:t>
      </w:r>
      <w:r w:rsidRPr="00A35857">
        <w:tab/>
        <w:t>–</w:t>
      </w:r>
      <w:r w:rsidR="00451501" w:rsidRPr="00A35857">
        <w:t xml:space="preserve"> </w:t>
      </w:r>
      <w:r w:rsidRPr="00A35857">
        <w:t>total number of regions, including the region itself</w:t>
      </w:r>
    </w:p>
    <w:p w14:paraId="2E49B2EA" w14:textId="77777777" w:rsidR="00FB1173" w:rsidRPr="00A35857" w:rsidRDefault="00FB1173" w:rsidP="000320C0">
      <w:pPr>
        <w:ind w:left="720"/>
        <w:rPr>
          <w:rFonts w:asciiTheme="minorBidi" w:hAnsiTheme="minorBidi"/>
          <w:sz w:val="24"/>
          <w:szCs w:val="24"/>
        </w:rPr>
      </w:pPr>
      <w:proofErr w:type="spellStart"/>
      <w:r w:rsidRPr="00A35857">
        <w:rPr>
          <w:rFonts w:asciiTheme="minorBidi" w:hAnsiTheme="minorBidi"/>
          <w:sz w:val="24"/>
          <w:szCs w:val="24"/>
        </w:rPr>
        <w:t>W</w:t>
      </w:r>
      <w:r w:rsidRPr="00A35857">
        <w:rPr>
          <w:rFonts w:asciiTheme="minorBidi" w:hAnsiTheme="minorBidi"/>
          <w:sz w:val="24"/>
          <w:szCs w:val="24"/>
          <w:vertAlign w:val="subscript"/>
        </w:rPr>
        <w:t>j</w:t>
      </w:r>
      <w:proofErr w:type="spellEnd"/>
      <w:r w:rsidRPr="00A35857">
        <w:rPr>
          <w:rFonts w:asciiTheme="minorBidi" w:hAnsiTheme="minorBidi"/>
          <w:sz w:val="24"/>
          <w:szCs w:val="24"/>
          <w:vertAlign w:val="subscript"/>
        </w:rPr>
        <w:tab/>
      </w:r>
      <w:r w:rsidRPr="00A35857">
        <w:rPr>
          <w:rFonts w:asciiTheme="minorBidi" w:hAnsiTheme="minorBidi"/>
          <w:sz w:val="24"/>
          <w:szCs w:val="24"/>
        </w:rPr>
        <w:t>–</w:t>
      </w:r>
      <w:r w:rsidR="00451501" w:rsidRPr="00A35857">
        <w:rPr>
          <w:rFonts w:asciiTheme="minorBidi" w:hAnsiTheme="minorBidi"/>
          <w:sz w:val="24"/>
          <w:szCs w:val="24"/>
        </w:rPr>
        <w:t xml:space="preserve"> </w:t>
      </w:r>
      <w:r w:rsidR="00A9264D" w:rsidRPr="00A35857">
        <w:rPr>
          <w:rFonts w:asciiTheme="minorBidi" w:hAnsiTheme="minorBidi"/>
          <w:sz w:val="24"/>
          <w:szCs w:val="24"/>
        </w:rPr>
        <w:t>intensity</w:t>
      </w:r>
      <w:r w:rsidRPr="00A35857">
        <w:rPr>
          <w:rFonts w:asciiTheme="minorBidi" w:hAnsiTheme="minorBidi"/>
          <w:sz w:val="24"/>
          <w:szCs w:val="24"/>
        </w:rPr>
        <w:t xml:space="preserve"> of the activity to be reached in region j</w:t>
      </w:r>
    </w:p>
    <w:p w14:paraId="5C61967E" w14:textId="77777777" w:rsidR="00FB1173" w:rsidRPr="00A35857" w:rsidRDefault="00FB1173" w:rsidP="000320C0">
      <w:pPr>
        <w:ind w:left="720"/>
        <w:rPr>
          <w:rFonts w:asciiTheme="minorBidi" w:hAnsiTheme="minorBidi"/>
          <w:sz w:val="24"/>
          <w:szCs w:val="24"/>
        </w:rPr>
      </w:pPr>
      <w:r w:rsidRPr="00A35857">
        <w:rPr>
          <w:rFonts w:asciiTheme="minorBidi" w:hAnsiTheme="minorBidi"/>
          <w:sz w:val="24"/>
          <w:szCs w:val="24"/>
        </w:rPr>
        <w:t>g(</w:t>
      </w:r>
      <w:proofErr w:type="spellStart"/>
      <w:r w:rsidR="009306F4" w:rsidRPr="00A35857">
        <w:rPr>
          <w:rFonts w:asciiTheme="minorBidi" w:hAnsiTheme="minorBidi"/>
          <w:sz w:val="24"/>
          <w:szCs w:val="24"/>
        </w:rPr>
        <w:t>W</w:t>
      </w:r>
      <w:r w:rsidR="009306F4" w:rsidRPr="00A35857">
        <w:rPr>
          <w:rFonts w:asciiTheme="minorBidi" w:hAnsiTheme="minorBidi"/>
          <w:sz w:val="24"/>
          <w:szCs w:val="24"/>
          <w:vertAlign w:val="subscript"/>
        </w:rPr>
        <w:t>j</w:t>
      </w:r>
      <w:proofErr w:type="spellEnd"/>
      <w:r w:rsidRPr="00A35857">
        <w:rPr>
          <w:rFonts w:asciiTheme="minorBidi" w:hAnsiTheme="minorBidi"/>
          <w:sz w:val="24"/>
          <w:szCs w:val="24"/>
        </w:rPr>
        <w:t>)</w:t>
      </w:r>
      <w:r w:rsidR="009306F4" w:rsidRPr="00A35857">
        <w:rPr>
          <w:rFonts w:asciiTheme="minorBidi" w:hAnsiTheme="minorBidi"/>
          <w:sz w:val="24"/>
          <w:szCs w:val="24"/>
        </w:rPr>
        <w:tab/>
        <w:t>–</w:t>
      </w:r>
      <w:r w:rsidR="00451501" w:rsidRPr="00A35857">
        <w:rPr>
          <w:rFonts w:asciiTheme="minorBidi" w:hAnsiTheme="minorBidi"/>
          <w:sz w:val="24"/>
          <w:szCs w:val="24"/>
        </w:rPr>
        <w:t xml:space="preserve"> </w:t>
      </w:r>
      <w:r w:rsidR="009306F4" w:rsidRPr="00A35857">
        <w:rPr>
          <w:rFonts w:asciiTheme="minorBidi" w:hAnsiTheme="minorBidi"/>
          <w:sz w:val="24"/>
          <w:szCs w:val="24"/>
        </w:rPr>
        <w:t>activity function</w:t>
      </w:r>
    </w:p>
    <w:p w14:paraId="26D757A9" w14:textId="77777777" w:rsidR="009306F4" w:rsidRPr="00A35857" w:rsidRDefault="009306F4" w:rsidP="000320C0">
      <w:pPr>
        <w:ind w:left="720"/>
        <w:rPr>
          <w:rFonts w:asciiTheme="minorBidi" w:hAnsiTheme="minorBidi"/>
          <w:sz w:val="24"/>
          <w:szCs w:val="24"/>
        </w:rPr>
      </w:pPr>
      <w:proofErr w:type="spellStart"/>
      <w:r w:rsidRPr="00A35857">
        <w:rPr>
          <w:rFonts w:asciiTheme="minorBidi" w:hAnsiTheme="minorBidi"/>
          <w:sz w:val="24"/>
          <w:szCs w:val="24"/>
        </w:rPr>
        <w:t>c</w:t>
      </w:r>
      <w:r w:rsidRPr="00A35857">
        <w:rPr>
          <w:rFonts w:asciiTheme="minorBidi" w:hAnsiTheme="minorBidi"/>
          <w:sz w:val="24"/>
          <w:szCs w:val="24"/>
          <w:vertAlign w:val="subscript"/>
        </w:rPr>
        <w:t>ij</w:t>
      </w:r>
      <w:proofErr w:type="spellEnd"/>
      <w:r w:rsidRPr="00A35857">
        <w:rPr>
          <w:rFonts w:asciiTheme="minorBidi" w:hAnsiTheme="minorBidi"/>
          <w:sz w:val="24"/>
          <w:szCs w:val="24"/>
          <w:vertAlign w:val="subscript"/>
        </w:rPr>
        <w:tab/>
      </w:r>
      <w:r w:rsidR="009E6003" w:rsidRPr="00A35857">
        <w:rPr>
          <w:rFonts w:asciiTheme="minorBidi" w:hAnsiTheme="minorBidi"/>
          <w:sz w:val="24"/>
          <w:szCs w:val="24"/>
        </w:rPr>
        <w:t>–</w:t>
      </w:r>
      <w:r w:rsidR="00451501" w:rsidRPr="00A35857">
        <w:rPr>
          <w:rFonts w:asciiTheme="minorBidi" w:hAnsiTheme="minorBidi"/>
          <w:sz w:val="24"/>
          <w:szCs w:val="24"/>
        </w:rPr>
        <w:t xml:space="preserve"> </w:t>
      </w:r>
      <w:r w:rsidRPr="00A35857">
        <w:rPr>
          <w:rFonts w:asciiTheme="minorBidi" w:hAnsiTheme="minorBidi"/>
          <w:sz w:val="24"/>
          <w:szCs w:val="24"/>
        </w:rPr>
        <w:t xml:space="preserve">impedance (cost, distance, time) of reaching region j from region </w:t>
      </w:r>
      <w:proofErr w:type="spellStart"/>
      <w:r w:rsidRPr="00A35857">
        <w:rPr>
          <w:rFonts w:asciiTheme="minorBidi" w:hAnsiTheme="minorBidi"/>
          <w:sz w:val="24"/>
          <w:szCs w:val="24"/>
        </w:rPr>
        <w:t>i</w:t>
      </w:r>
      <w:proofErr w:type="spellEnd"/>
    </w:p>
    <w:p w14:paraId="2E4AB9D9" w14:textId="77777777" w:rsidR="009306F4" w:rsidRPr="00A35857" w:rsidRDefault="009306F4" w:rsidP="002140D9">
      <w:pPr>
        <w:ind w:left="720"/>
        <w:rPr>
          <w:rFonts w:asciiTheme="minorBidi" w:hAnsiTheme="minorBidi"/>
          <w:sz w:val="24"/>
          <w:szCs w:val="24"/>
        </w:rPr>
      </w:pPr>
      <w:r w:rsidRPr="00A35857">
        <w:rPr>
          <w:rFonts w:asciiTheme="minorBidi" w:hAnsiTheme="minorBidi"/>
          <w:sz w:val="24"/>
          <w:szCs w:val="24"/>
        </w:rPr>
        <w:t>f(</w:t>
      </w:r>
      <w:proofErr w:type="spellStart"/>
      <w:r w:rsidRPr="00A35857">
        <w:rPr>
          <w:rFonts w:asciiTheme="minorBidi" w:hAnsiTheme="minorBidi"/>
          <w:sz w:val="24"/>
          <w:szCs w:val="24"/>
        </w:rPr>
        <w:t>c</w:t>
      </w:r>
      <w:r w:rsidRPr="00A35857">
        <w:rPr>
          <w:rFonts w:asciiTheme="minorBidi" w:hAnsiTheme="minorBidi"/>
          <w:sz w:val="24"/>
          <w:szCs w:val="24"/>
          <w:vertAlign w:val="subscript"/>
        </w:rPr>
        <w:t>ij</w:t>
      </w:r>
      <w:proofErr w:type="spellEnd"/>
      <w:r w:rsidRPr="00A35857">
        <w:rPr>
          <w:rFonts w:asciiTheme="minorBidi" w:hAnsiTheme="minorBidi"/>
          <w:sz w:val="24"/>
          <w:szCs w:val="24"/>
        </w:rPr>
        <w:t>)</w:t>
      </w:r>
      <w:r w:rsidRPr="00A35857">
        <w:rPr>
          <w:rFonts w:asciiTheme="minorBidi" w:hAnsiTheme="minorBidi"/>
          <w:sz w:val="24"/>
          <w:szCs w:val="24"/>
        </w:rPr>
        <w:tab/>
        <w:t>–</w:t>
      </w:r>
      <w:r w:rsidR="00451501" w:rsidRPr="00A35857">
        <w:rPr>
          <w:rFonts w:asciiTheme="minorBidi" w:hAnsiTheme="minorBidi"/>
          <w:sz w:val="24"/>
          <w:szCs w:val="24"/>
        </w:rPr>
        <w:t xml:space="preserve"> </w:t>
      </w:r>
      <w:r w:rsidR="0059270A" w:rsidRPr="00A35857">
        <w:rPr>
          <w:rFonts w:asciiTheme="minorBidi" w:hAnsiTheme="minorBidi"/>
          <w:sz w:val="24"/>
          <w:szCs w:val="24"/>
        </w:rPr>
        <w:t xml:space="preserve">impedance function from region </w:t>
      </w:r>
      <w:proofErr w:type="spellStart"/>
      <w:r w:rsidR="009E6003" w:rsidRPr="00A35857">
        <w:rPr>
          <w:rFonts w:asciiTheme="minorBidi" w:hAnsiTheme="minorBidi"/>
          <w:sz w:val="24"/>
          <w:szCs w:val="24"/>
        </w:rPr>
        <w:t>i</w:t>
      </w:r>
      <w:proofErr w:type="spellEnd"/>
      <w:r w:rsidR="0059270A" w:rsidRPr="00A35857">
        <w:rPr>
          <w:rFonts w:asciiTheme="minorBidi" w:hAnsiTheme="minorBidi"/>
          <w:sz w:val="24"/>
          <w:szCs w:val="24"/>
        </w:rPr>
        <w:t xml:space="preserve"> </w:t>
      </w:r>
      <w:r w:rsidR="009E6003" w:rsidRPr="00A35857">
        <w:rPr>
          <w:rFonts w:asciiTheme="minorBidi" w:hAnsiTheme="minorBidi"/>
          <w:sz w:val="24"/>
          <w:szCs w:val="24"/>
        </w:rPr>
        <w:t>to region j</w:t>
      </w:r>
    </w:p>
    <w:p w14:paraId="03C8904E" w14:textId="77777777" w:rsidR="009E6003" w:rsidRPr="009D5E35" w:rsidRDefault="009E6003" w:rsidP="00DE2A44">
      <w:pPr>
        <w:pStyle w:val="body"/>
      </w:pPr>
      <w:r w:rsidRPr="009D5E35">
        <w:t xml:space="preserve">Different assumptions </w:t>
      </w:r>
      <w:r w:rsidR="00400C2F" w:rsidRPr="009D5E35">
        <w:t xml:space="preserve">regarding the activity and impedance functions lead to different types of </w:t>
      </w:r>
      <w:r w:rsidR="00CC6F21">
        <w:t>accessibility indices</w:t>
      </w:r>
      <w:r w:rsidR="00400C2F" w:rsidRPr="009D5E35">
        <w:t>: travel cost, daily accessibility, and potential accessibility.</w:t>
      </w:r>
    </w:p>
    <w:p w14:paraId="4054A4FA" w14:textId="77777777" w:rsidR="00400C2F" w:rsidRPr="009D5E35" w:rsidRDefault="0090304D" w:rsidP="002C0EA3">
      <w:pPr>
        <w:pStyle w:val="body"/>
        <w:numPr>
          <w:ilvl w:val="0"/>
          <w:numId w:val="10"/>
        </w:numPr>
        <w:ind w:left="426" w:hanging="426"/>
      </w:pPr>
      <w:r w:rsidRPr="009D5E35">
        <w:t xml:space="preserve">The </w:t>
      </w:r>
      <w:r w:rsidRPr="002C0EA3">
        <w:rPr>
          <w:b/>
          <w:bCs/>
        </w:rPr>
        <w:t>travel cost</w:t>
      </w:r>
      <w:r w:rsidRPr="009D5E35">
        <w:t xml:space="preserve"> indicator</w:t>
      </w:r>
      <w:r w:rsidR="00400C2F" w:rsidRPr="009D5E35">
        <w:t xml:space="preserve"> measures</w:t>
      </w:r>
      <w:r w:rsidR="00484FE4" w:rsidRPr="009D5E35">
        <w:t xml:space="preserve"> accessibility to a sp</w:t>
      </w:r>
      <w:r w:rsidR="003D4E9B" w:rsidRPr="009D5E35">
        <w:t>ecified set</w:t>
      </w:r>
      <w:r w:rsidR="00484FE4" w:rsidRPr="009D5E35">
        <w:t xml:space="preserve"> of destinations, for example, central destina</w:t>
      </w:r>
      <w:r w:rsidRPr="009D5E35">
        <w:t>tions or large cities. The indicator</w:t>
      </w:r>
      <w:r w:rsidR="00484FE4" w:rsidRPr="009D5E35">
        <w:t xml:space="preserve"> is used under the assumption that only a </w:t>
      </w:r>
      <w:r w:rsidR="003D4E9B" w:rsidRPr="009D5E35">
        <w:t xml:space="preserve">specified set </w:t>
      </w:r>
      <w:r w:rsidR="00484FE4" w:rsidRPr="009D5E35">
        <w:t>of destinations is relevant to the region’s accessibility. T</w:t>
      </w:r>
      <w:r w:rsidR="003D4E9B" w:rsidRPr="009D5E35">
        <w:t>he higher the travel cost to that</w:t>
      </w:r>
      <w:r w:rsidR="00484FE4" w:rsidRPr="009D5E35">
        <w:t xml:space="preserve"> </w:t>
      </w:r>
      <w:r w:rsidR="003D4E9B" w:rsidRPr="009D5E35">
        <w:t>set of</w:t>
      </w:r>
      <w:r w:rsidR="00484FE4" w:rsidRPr="009D5E35">
        <w:t xml:space="preserve"> destinations, the lower the accessibility.</w:t>
      </w:r>
    </w:p>
    <w:p w14:paraId="0A49DDD8" w14:textId="0D413AE1" w:rsidR="003D4E9B" w:rsidRPr="00A35857" w:rsidRDefault="003D4E9B" w:rsidP="002C0EA3">
      <w:pPr>
        <w:pStyle w:val="body"/>
        <w:ind w:left="426"/>
      </w:pPr>
      <w:r w:rsidRPr="00A35857">
        <w:t>The formula for the in</w:t>
      </w:r>
      <w:r w:rsidR="0090304D" w:rsidRPr="00A35857">
        <w:t>dicator</w:t>
      </w:r>
      <w:r w:rsidRPr="00A35857">
        <w:t xml:space="preserve"> is obtained by defining</w:t>
      </w:r>
      <w:r w:rsidR="00E37FED" w:rsidRPr="00A35857">
        <w:t xml:space="preserve"> </w:t>
      </w:r>
      <w:r w:rsidR="00B4425D" w:rsidRPr="00A35857">
        <w:t>f(</w:t>
      </w:r>
      <w:proofErr w:type="spellStart"/>
      <w:r w:rsidR="00B4425D" w:rsidRPr="00A35857">
        <w:t>c</w:t>
      </w:r>
      <w:r w:rsidR="00B4425D" w:rsidRPr="00A35857">
        <w:rPr>
          <w:vertAlign w:val="subscript"/>
        </w:rPr>
        <w:t>ij</w:t>
      </w:r>
      <w:proofErr w:type="spellEnd"/>
      <w:r w:rsidR="00B4425D" w:rsidRPr="00A35857">
        <w:t xml:space="preserve">) </w:t>
      </w:r>
      <w:r w:rsidR="00CC76A3" w:rsidRPr="00A35857">
        <w:rPr>
          <w:lang w:val="en-US"/>
        </w:rPr>
        <w:t xml:space="preserve">equal to </w:t>
      </w:r>
      <w:proofErr w:type="spellStart"/>
      <w:proofErr w:type="gramStart"/>
      <w:r w:rsidR="00CC76A3" w:rsidRPr="00A35857">
        <w:t>c</w:t>
      </w:r>
      <w:r w:rsidR="00CC76A3" w:rsidRPr="00A35857">
        <w:rPr>
          <w:vertAlign w:val="subscript"/>
        </w:rPr>
        <w:t>ij</w:t>
      </w:r>
      <w:proofErr w:type="spellEnd"/>
      <w:r w:rsidR="00CC76A3" w:rsidRPr="00A35857">
        <w:t xml:space="preserve"> ,</w:t>
      </w:r>
      <w:proofErr w:type="gramEnd"/>
      <w:r w:rsidR="00CC76A3" w:rsidRPr="00A35857">
        <w:t xml:space="preserve"> </w:t>
      </w:r>
      <w:r w:rsidR="00B4425D" w:rsidRPr="00A35857">
        <w:t xml:space="preserve">and </w:t>
      </w:r>
      <w:proofErr w:type="spellStart"/>
      <w:r w:rsidR="00E37FED" w:rsidRPr="00A35857">
        <w:t>W</w:t>
      </w:r>
      <w:r w:rsidR="009B0111" w:rsidRPr="00A35857">
        <w:rPr>
          <w:vertAlign w:val="subscript"/>
        </w:rPr>
        <w:t>j</w:t>
      </w:r>
      <w:proofErr w:type="spellEnd"/>
      <w:r w:rsidR="00ED3BDA" w:rsidRPr="00A35857">
        <w:rPr>
          <w:vertAlign w:val="subscript"/>
        </w:rPr>
        <w:t xml:space="preserve"> </w:t>
      </w:r>
      <w:r w:rsidR="00ED3BDA" w:rsidRPr="00A35857">
        <w:t>equal to</w:t>
      </w:r>
      <w:r w:rsidR="00E37FED" w:rsidRPr="00A35857">
        <w:t xml:space="preserve"> 1 if </w:t>
      </w:r>
      <w:proofErr w:type="spellStart"/>
      <w:r w:rsidR="00E37FED" w:rsidRPr="00A35857">
        <w:t>W</w:t>
      </w:r>
      <w:r w:rsidR="00E37FED" w:rsidRPr="00A35857">
        <w:rPr>
          <w:vertAlign w:val="subscript"/>
        </w:rPr>
        <w:t>j</w:t>
      </w:r>
      <w:proofErr w:type="spellEnd"/>
      <w:r w:rsidR="00B81FBE">
        <w:rPr>
          <w:vertAlign w:val="subscript"/>
        </w:rPr>
        <w:t xml:space="preserve"> </w:t>
      </w:r>
      <w:r w:rsidR="00E37FED" w:rsidRPr="00A35857">
        <w:t xml:space="preserve">passes the threshold of </w:t>
      </w:r>
      <w:r w:rsidR="00E83246" w:rsidRPr="00A35857">
        <w:t xml:space="preserve">the </w:t>
      </w:r>
      <w:r w:rsidR="00A9264D" w:rsidRPr="00A35857">
        <w:t>intensity</w:t>
      </w:r>
      <w:r w:rsidR="00E37FED" w:rsidRPr="00A35857">
        <w:t xml:space="preserve"> of the activity (for example, a </w:t>
      </w:r>
      <w:r w:rsidR="00E37FED" w:rsidRPr="00A35857">
        <w:lastRenderedPageBreak/>
        <w:t xml:space="preserve">minimum population size). </w:t>
      </w:r>
      <w:r w:rsidR="00E83246" w:rsidRPr="00A35857">
        <w:t xml:space="preserve">Otherwise, it is equal to zero. </w:t>
      </w:r>
      <w:r w:rsidR="00CC4319" w:rsidRPr="00A35857">
        <w:t>The value of the index depends on the set of destinations</w:t>
      </w:r>
      <w:r w:rsidR="0090304D" w:rsidRPr="00A35857">
        <w:t xml:space="preserve"> </w:t>
      </w:r>
      <w:r w:rsidR="000320C0" w:rsidRPr="00A35857">
        <w:t>defined by</w:t>
      </w:r>
      <w:r w:rsidR="0090304D" w:rsidRPr="00A35857">
        <w:t xml:space="preserve"> the </w:t>
      </w:r>
      <w:r w:rsidR="00434C8A" w:rsidRPr="00A35857">
        <w:t>cut-off</w:t>
      </w:r>
      <w:r w:rsidR="0090304D" w:rsidRPr="00A35857">
        <w:t xml:space="preserve"> point, </w:t>
      </w:r>
      <w:r w:rsidR="00D1266B" w:rsidRPr="00A35857">
        <w:t xml:space="preserve">which is </w:t>
      </w:r>
      <w:r w:rsidR="001A22B5" w:rsidRPr="00A35857">
        <w:t>chosen</w:t>
      </w:r>
      <w:r w:rsidR="00D1266B" w:rsidRPr="00A35857">
        <w:t xml:space="preserve"> </w:t>
      </w:r>
      <w:r w:rsidR="0090304D" w:rsidRPr="00A35857">
        <w:t xml:space="preserve">according to subjective </w:t>
      </w:r>
      <w:r w:rsidR="0049393E" w:rsidRPr="00A35857">
        <w:t>criteria. In</w:t>
      </w:r>
      <w:r w:rsidR="0090304D" w:rsidRPr="00A35857">
        <w:t xml:space="preserve"> addition, the linear impedance function does not </w:t>
      </w:r>
      <w:proofErr w:type="gramStart"/>
      <w:r w:rsidR="0090304D" w:rsidRPr="00A35857">
        <w:t>take into account</w:t>
      </w:r>
      <w:proofErr w:type="gramEnd"/>
      <w:r w:rsidR="0090304D" w:rsidRPr="00A35857">
        <w:t xml:space="preserve"> sensitivity to distance, which is reflected in the fact that more distant destinations tend to be visited less frequently.</w:t>
      </w:r>
    </w:p>
    <w:p w14:paraId="4ED064D6" w14:textId="77777777" w:rsidR="0090304D" w:rsidRPr="009D5E35" w:rsidRDefault="0090304D" w:rsidP="002C0EA3">
      <w:pPr>
        <w:pStyle w:val="body"/>
        <w:numPr>
          <w:ilvl w:val="0"/>
          <w:numId w:val="10"/>
        </w:numPr>
        <w:ind w:left="426" w:hanging="426"/>
      </w:pPr>
      <w:r w:rsidRPr="009D5E35">
        <w:t xml:space="preserve">The </w:t>
      </w:r>
      <w:r w:rsidRPr="002C0EA3">
        <w:rPr>
          <w:b/>
          <w:bCs/>
        </w:rPr>
        <w:t>daily accessibility</w:t>
      </w:r>
      <w:r w:rsidRPr="009D5E35">
        <w:t xml:space="preserve"> indicator measures the </w:t>
      </w:r>
      <w:r w:rsidR="001A22B5">
        <w:t>intensity</w:t>
      </w:r>
      <w:r w:rsidRPr="009D5E35">
        <w:t xml:space="preserve"> of activity that can be reached given a fixed amount of time or money. The indicator is used under the assumption of a limited travel budget</w:t>
      </w:r>
      <w:r w:rsidR="0031584A" w:rsidRPr="009D5E35">
        <w:t>,</w:t>
      </w:r>
      <w:r w:rsidRPr="009D5E35">
        <w:t xml:space="preserve"> a maximum </w:t>
      </w:r>
      <w:r w:rsidR="0031584A" w:rsidRPr="009D5E35">
        <w:t>reasonable distance to reach the destination, or a maximum length of time during which the destination must be reached. The higher the value of the indicator, the higher the accessibility.</w:t>
      </w:r>
    </w:p>
    <w:p w14:paraId="2BB93684" w14:textId="37467CD9" w:rsidR="00484FE4" w:rsidRPr="00A35857" w:rsidRDefault="0031584A" w:rsidP="002C0EA3">
      <w:pPr>
        <w:pStyle w:val="body"/>
        <w:ind w:left="426"/>
      </w:pPr>
      <w:r w:rsidRPr="00A35857">
        <w:t>The formula for the indicator is obtained by defining g(</w:t>
      </w:r>
      <w:proofErr w:type="spellStart"/>
      <w:r w:rsidRPr="00A35857">
        <w:t>W</w:t>
      </w:r>
      <w:r w:rsidRPr="00A35857">
        <w:rPr>
          <w:vertAlign w:val="subscript"/>
        </w:rPr>
        <w:t>j</w:t>
      </w:r>
      <w:proofErr w:type="spellEnd"/>
      <w:r w:rsidRPr="00A35857">
        <w:t xml:space="preserve">) </w:t>
      </w:r>
      <w:r w:rsidR="00CC76A3" w:rsidRPr="00A35857">
        <w:t xml:space="preserve">equal to </w:t>
      </w:r>
      <w:proofErr w:type="spellStart"/>
      <w:r w:rsidR="00CC76A3" w:rsidRPr="00A35857">
        <w:t>W</w:t>
      </w:r>
      <w:r w:rsidR="00CC76A3" w:rsidRPr="00A35857">
        <w:rPr>
          <w:vertAlign w:val="subscript"/>
        </w:rPr>
        <w:t>j</w:t>
      </w:r>
      <w:proofErr w:type="spellEnd"/>
      <w:r w:rsidR="00CC76A3" w:rsidRPr="00A35857">
        <w:t xml:space="preserve">, </w:t>
      </w:r>
      <w:r w:rsidRPr="00A35857">
        <w:t>and f(</w:t>
      </w:r>
      <w:proofErr w:type="spellStart"/>
      <w:r w:rsidRPr="00A35857">
        <w:t>c</w:t>
      </w:r>
      <w:r w:rsidRPr="00A35857">
        <w:rPr>
          <w:vertAlign w:val="subscript"/>
        </w:rPr>
        <w:t>ij</w:t>
      </w:r>
      <w:proofErr w:type="spellEnd"/>
      <w:r w:rsidRPr="00A35857">
        <w:t xml:space="preserve">) </w:t>
      </w:r>
      <w:r w:rsidR="00ED3BDA" w:rsidRPr="00A35857">
        <w:t>equal to</w:t>
      </w:r>
      <w:r w:rsidRPr="00A35857">
        <w:t xml:space="preserve"> 1 if </w:t>
      </w:r>
      <w:proofErr w:type="spellStart"/>
      <w:r w:rsidR="00434C8A" w:rsidRPr="00A35857">
        <w:t>c</w:t>
      </w:r>
      <w:r w:rsidR="00434C8A" w:rsidRPr="00A35857">
        <w:rPr>
          <w:vertAlign w:val="subscript"/>
        </w:rPr>
        <w:t>ij</w:t>
      </w:r>
      <w:proofErr w:type="spellEnd"/>
      <w:r w:rsidR="00434C8A" w:rsidRPr="00A35857">
        <w:t xml:space="preserve"> does not pass the budget limit for the trip (money, distance, or time). Otherwise, it is equal to zero. The value of the index depends on a limitation that is determined according to </w:t>
      </w:r>
      <w:r w:rsidR="000320C0" w:rsidRPr="00A35857">
        <w:t>subjective</w:t>
      </w:r>
      <w:r w:rsidR="00434C8A" w:rsidRPr="00A35857">
        <w:t xml:space="preserve"> criteria. In addition, the impedance function does not distinguish between closer and more distant destinations.</w:t>
      </w:r>
    </w:p>
    <w:p w14:paraId="7B6D3872" w14:textId="2630668D" w:rsidR="00434C8A" w:rsidRPr="009D5E35" w:rsidRDefault="00434C8A" w:rsidP="002C0EA3">
      <w:pPr>
        <w:pStyle w:val="body"/>
        <w:numPr>
          <w:ilvl w:val="0"/>
          <w:numId w:val="10"/>
        </w:numPr>
        <w:ind w:left="426" w:hanging="426"/>
      </w:pPr>
      <w:r w:rsidRPr="009D5E35">
        <w:t xml:space="preserve">The </w:t>
      </w:r>
      <w:r w:rsidRPr="002C0EA3">
        <w:rPr>
          <w:b/>
          <w:bCs/>
        </w:rPr>
        <w:t>potential accessibility</w:t>
      </w:r>
      <w:r w:rsidRPr="009D5E35">
        <w:t xml:space="preserve"> indicator measures the accessibility of the region according to the most general form of </w:t>
      </w:r>
      <w:r w:rsidR="00CC6F21">
        <w:t>F</w:t>
      </w:r>
      <w:r w:rsidRPr="009D5E35">
        <w:t xml:space="preserve">ormula (1), with the impedance function defined as a decreasing function. The value of the accessibility of each region is calculated as a function </w:t>
      </w:r>
      <w:r w:rsidR="00ED3BDA">
        <w:t xml:space="preserve">both </w:t>
      </w:r>
      <w:r w:rsidRPr="009D5E35">
        <w:t xml:space="preserve">of </w:t>
      </w:r>
      <w:r w:rsidR="00ED3BDA">
        <w:t>its</w:t>
      </w:r>
      <w:r w:rsidRPr="009D5E35">
        <w:t xml:space="preserve"> proximity to other activity regions, a</w:t>
      </w:r>
      <w:r w:rsidR="000320C0">
        <w:t xml:space="preserve">nd </w:t>
      </w:r>
      <w:r w:rsidRPr="009D5E35">
        <w:t xml:space="preserve">of the </w:t>
      </w:r>
      <w:r w:rsidR="00A9264D" w:rsidRPr="00A9264D">
        <w:t>intensity</w:t>
      </w:r>
      <w:r w:rsidRPr="009D5E35">
        <w:t xml:space="preserve"> of</w:t>
      </w:r>
      <w:r w:rsidR="000320C0">
        <w:t xml:space="preserve"> activities in</w:t>
      </w:r>
      <w:r w:rsidRPr="009D5E35">
        <w:t xml:space="preserve"> the regions, under the assumption that the attractiveness of a destination increases with </w:t>
      </w:r>
      <w:r w:rsidR="00ED3BDA">
        <w:t xml:space="preserve">the </w:t>
      </w:r>
      <w:r w:rsidR="00A9264D" w:rsidRPr="00A9264D">
        <w:t>intensity</w:t>
      </w:r>
      <w:r w:rsidR="00ED3BDA">
        <w:t xml:space="preserve"> of activities in it</w:t>
      </w:r>
      <w:r w:rsidR="00A9264D" w:rsidRPr="009D5E35">
        <w:t xml:space="preserve"> </w:t>
      </w:r>
      <w:r w:rsidRPr="009D5E35">
        <w:t>and decreases with the distance from it (in terms of time or travel cost).</w:t>
      </w:r>
    </w:p>
    <w:p w14:paraId="281B6D18" w14:textId="29DB0145" w:rsidR="0047619F" w:rsidRPr="0056674E" w:rsidRDefault="0047619F" w:rsidP="002C0EA3">
      <w:pPr>
        <w:pStyle w:val="body"/>
        <w:ind w:left="426"/>
        <w:rPr>
          <w:b/>
          <w:bCs/>
        </w:rPr>
      </w:pPr>
      <w:r w:rsidRPr="009D5E35">
        <w:t xml:space="preserve">The formula can be interpreted as follows: </w:t>
      </w:r>
      <w:r w:rsidRPr="0056674E">
        <w:rPr>
          <w:b/>
          <w:bCs/>
        </w:rPr>
        <w:t xml:space="preserve">The more attractive (large, active) regions j are, and the easier it is to reach these regions from region </w:t>
      </w:r>
      <w:proofErr w:type="spellStart"/>
      <w:r w:rsidRPr="0056674E">
        <w:rPr>
          <w:b/>
          <w:bCs/>
        </w:rPr>
        <w:t>i</w:t>
      </w:r>
      <w:proofErr w:type="spellEnd"/>
      <w:r w:rsidRPr="0056674E">
        <w:rPr>
          <w:b/>
          <w:bCs/>
        </w:rPr>
        <w:t xml:space="preserve">, the greater the accessibility of region </w:t>
      </w:r>
      <w:proofErr w:type="spellStart"/>
      <w:r w:rsidRPr="0056674E">
        <w:rPr>
          <w:b/>
          <w:bCs/>
        </w:rPr>
        <w:t>i</w:t>
      </w:r>
      <w:proofErr w:type="spellEnd"/>
      <w:r w:rsidRPr="0056674E">
        <w:rPr>
          <w:b/>
          <w:bCs/>
        </w:rPr>
        <w:t>.</w:t>
      </w:r>
    </w:p>
    <w:p w14:paraId="3F34F8FA" w14:textId="2ED475CF" w:rsidR="007E6F84" w:rsidRPr="009D5E35" w:rsidRDefault="0047619F" w:rsidP="002C0EA3">
      <w:pPr>
        <w:pStyle w:val="body"/>
        <w:ind w:left="426"/>
      </w:pPr>
      <w:r w:rsidRPr="009D5E35">
        <w:t xml:space="preserve">Measuring accessibility by means of an accumulated total of </w:t>
      </w:r>
      <w:r w:rsidR="00A9264D" w:rsidRPr="00A9264D">
        <w:t>intensity</w:t>
      </w:r>
      <w:r w:rsidRPr="009D5E35">
        <w:t xml:space="preserve"> of </w:t>
      </w:r>
      <w:r w:rsidR="000320C0">
        <w:t>activities</w:t>
      </w:r>
      <w:r w:rsidRPr="009D5E35">
        <w:t xml:space="preserve"> weighted by the ease of reaching them is based on Newton’s law: The </w:t>
      </w:r>
      <w:r w:rsidR="001B25B5">
        <w:t xml:space="preserve">force of </w:t>
      </w:r>
      <w:r w:rsidRPr="009D5E35">
        <w:t xml:space="preserve">attraction between two bodies is proportional to </w:t>
      </w:r>
      <w:r w:rsidR="001B25B5">
        <w:t>the product of</w:t>
      </w:r>
      <w:r w:rsidR="009D15DC" w:rsidRPr="009D5E35">
        <w:t xml:space="preserve"> their mass</w:t>
      </w:r>
      <w:r w:rsidR="001B25B5">
        <w:t>es</w:t>
      </w:r>
      <w:r w:rsidR="009D15DC" w:rsidRPr="009D5E35">
        <w:t xml:space="preserve"> divided by the square of the distance between them. During the 1940s, the physical terms were translated into terms of </w:t>
      </w:r>
      <w:r w:rsidR="00F16B88">
        <w:t>regional science</w:t>
      </w:r>
      <w:r w:rsidR="003C5F8D">
        <w:t xml:space="preserve"> (Stewart, 1947)</w:t>
      </w:r>
      <w:r w:rsidR="009D15DC" w:rsidRPr="009D5E35">
        <w:t>.</w:t>
      </w:r>
      <w:r w:rsidR="007E6F84" w:rsidRPr="009D5E35">
        <w:t xml:space="preserve"> Similar to potential in physics, the population </w:t>
      </w:r>
      <w:r w:rsidR="00877473">
        <w:t>potentia</w:t>
      </w:r>
      <w:r w:rsidR="00805F3D" w:rsidRPr="009D5E35">
        <w:t xml:space="preserve">l </w:t>
      </w:r>
      <w:r w:rsidR="007E6F84" w:rsidRPr="009D5E35">
        <w:t xml:space="preserve">(the influence </w:t>
      </w:r>
      <w:r w:rsidR="007E6F84" w:rsidRPr="007C641F">
        <w:t>of P persons at a distance d</w:t>
      </w:r>
      <w:r w:rsidR="007E6F84" w:rsidRPr="009D5E35">
        <w:t>) is defined as</w:t>
      </w:r>
      <w:r w:rsidR="00CE7C7F">
        <w:t xml:space="preserve"> </w:t>
      </w:r>
      <w:r w:rsidR="009955A2">
        <w:rPr>
          <w:noProof/>
          <w:position w:val="-6"/>
        </w:rPr>
        <w:drawing>
          <wp:inline distT="0" distB="0" distL="0" distR="0" wp14:anchorId="609FEB39" wp14:editId="720FE1AA">
            <wp:extent cx="336550" cy="184150"/>
            <wp:effectExtent l="0" t="0" r="6350" b="6350"/>
            <wp:docPr id="2" name="Picture 2" descr="Population size P divided by distan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ulation size P divided by distance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550" cy="184150"/>
                    </a:xfrm>
                    <a:prstGeom prst="rect">
                      <a:avLst/>
                    </a:prstGeom>
                    <a:noFill/>
                    <a:ln>
                      <a:noFill/>
                    </a:ln>
                  </pic:spPr>
                </pic:pic>
              </a:graphicData>
            </a:graphic>
          </wp:inline>
        </w:drawing>
      </w:r>
      <w:r w:rsidR="007E6F84" w:rsidRPr="009D5E35">
        <w:t xml:space="preserve">. The same ideas led to spatial interaction models, also known as gravity models, which are used to identify the </w:t>
      </w:r>
      <w:r w:rsidR="007E6F84" w:rsidRPr="00F16B88">
        <w:t>magnitude</w:t>
      </w:r>
      <w:r w:rsidR="00F16B88">
        <w:t xml:space="preserve"> and direction of a flow of </w:t>
      </w:r>
      <w:r w:rsidR="00D35788" w:rsidRPr="009D5E35">
        <w:t xml:space="preserve">persons between different regions based on their population sizes and </w:t>
      </w:r>
      <w:r w:rsidR="00ED3BDA">
        <w:t>on</w:t>
      </w:r>
      <w:r w:rsidR="00D35788" w:rsidRPr="009D5E35">
        <w:t xml:space="preserve"> a decreasing function of the distance between them</w:t>
      </w:r>
      <w:r w:rsidR="003C5F8D">
        <w:t xml:space="preserve"> (Thomas</w:t>
      </w:r>
      <w:r w:rsidR="009E30EF">
        <w:t xml:space="preserve"> &amp; Huggett</w:t>
      </w:r>
      <w:r w:rsidR="003C5F8D">
        <w:t>, 1980)</w:t>
      </w:r>
      <w:r w:rsidR="00D35788" w:rsidRPr="009D5E35">
        <w:t>.</w:t>
      </w:r>
    </w:p>
    <w:p w14:paraId="6E405EB1" w14:textId="77777777" w:rsidR="00D35788" w:rsidRPr="009D5E35" w:rsidRDefault="00D57441" w:rsidP="00E7415C">
      <w:pPr>
        <w:pStyle w:val="body"/>
        <w:ind w:left="426"/>
      </w:pPr>
      <w:r w:rsidRPr="009D5E35">
        <w:t xml:space="preserve">The potential accessibility </w:t>
      </w:r>
      <w:r w:rsidR="000320C0">
        <w:t>index</w:t>
      </w:r>
      <w:r w:rsidRPr="009D5E35">
        <w:t xml:space="preserve"> is </w:t>
      </w:r>
      <w:r w:rsidR="000320C0">
        <w:t>generally</w:t>
      </w:r>
      <w:r w:rsidRPr="009D5E35">
        <w:t xml:space="preserve"> used in </w:t>
      </w:r>
      <w:r w:rsidR="00877473">
        <w:t>applied</w:t>
      </w:r>
      <w:r w:rsidRPr="009D5E35">
        <w:t xml:space="preserve"> projects.</w:t>
      </w:r>
    </w:p>
    <w:p w14:paraId="367D9E45" w14:textId="77777777" w:rsidR="00D57441" w:rsidRPr="009D5E35" w:rsidRDefault="00D57441" w:rsidP="00C54761">
      <w:pPr>
        <w:pStyle w:val="body"/>
        <w:spacing w:after="120"/>
        <w:ind w:left="425"/>
      </w:pPr>
      <w:r w:rsidRPr="009D5E35">
        <w:t xml:space="preserve">The </w:t>
      </w:r>
      <w:r w:rsidRPr="00F16B88">
        <w:t>index</w:t>
      </w:r>
      <w:r w:rsidR="00D543D2" w:rsidRPr="00D543D2">
        <w:t xml:space="preserve"> </w:t>
      </w:r>
      <w:r w:rsidR="00D543D2" w:rsidRPr="009D5E35">
        <w:t>formula</w:t>
      </w:r>
      <w:r w:rsidRPr="009D5E35">
        <w:t xml:space="preserve"> includes parameters that must be set or estimated. </w:t>
      </w:r>
    </w:p>
    <w:p w14:paraId="0C2D7B2F" w14:textId="77777777" w:rsidR="00D57441" w:rsidRPr="009D5E35" w:rsidRDefault="00D57441" w:rsidP="00157AD2">
      <w:pPr>
        <w:pStyle w:val="2"/>
        <w:numPr>
          <w:ilvl w:val="0"/>
          <w:numId w:val="20"/>
        </w:numPr>
        <w:spacing w:before="240" w:after="240"/>
        <w:ind w:left="357" w:hanging="357"/>
      </w:pPr>
      <w:bookmarkStart w:id="38" w:name="_Toc127808128"/>
      <w:bookmarkStart w:id="39" w:name="_Toc371425"/>
      <w:bookmarkStart w:id="40" w:name="_Toc149219671"/>
      <w:r w:rsidRPr="009D5E35">
        <w:lastRenderedPageBreak/>
        <w:t>Units of Measurement and Parameters</w:t>
      </w:r>
      <w:bookmarkEnd w:id="38"/>
      <w:bookmarkEnd w:id="39"/>
      <w:bookmarkEnd w:id="40"/>
    </w:p>
    <w:p w14:paraId="47DB83CE" w14:textId="77777777" w:rsidR="00D57441" w:rsidRPr="00230FB8" w:rsidRDefault="00A9264D" w:rsidP="00230FB8">
      <w:pPr>
        <w:pStyle w:val="3"/>
        <w:numPr>
          <w:ilvl w:val="0"/>
          <w:numId w:val="23"/>
        </w:numPr>
        <w:ind w:left="357" w:hanging="357"/>
      </w:pPr>
      <w:bookmarkStart w:id="41" w:name="_Toc127808129"/>
      <w:bookmarkStart w:id="42" w:name="_Toc371426"/>
      <w:bookmarkStart w:id="43" w:name="_Toc149219672"/>
      <w:r w:rsidRPr="00230FB8">
        <w:t>Intensity</w:t>
      </w:r>
      <w:r w:rsidR="00D57441" w:rsidRPr="00230FB8">
        <w:t xml:space="preserve"> of </w:t>
      </w:r>
      <w:r w:rsidR="0056674E">
        <w:t xml:space="preserve">Activities at </w:t>
      </w:r>
      <w:r w:rsidR="00D57441" w:rsidRPr="00230FB8">
        <w:t>the Destination</w:t>
      </w:r>
      <w:bookmarkEnd w:id="41"/>
      <w:bookmarkEnd w:id="42"/>
      <w:bookmarkEnd w:id="43"/>
    </w:p>
    <w:p w14:paraId="4B5C457C" w14:textId="41439C83" w:rsidR="00D57441" w:rsidRPr="009D5E35" w:rsidRDefault="00434F5E" w:rsidP="00DE2A44">
      <w:pPr>
        <w:pStyle w:val="body"/>
      </w:pPr>
      <w:r w:rsidRPr="009D5E35">
        <w:t xml:space="preserve">The </w:t>
      </w:r>
      <w:r w:rsidR="00A9264D" w:rsidRPr="00A9264D">
        <w:t>intensity</w:t>
      </w:r>
      <w:r w:rsidR="00A9264D" w:rsidRPr="009D5E35">
        <w:t xml:space="preserve"> </w:t>
      </w:r>
      <w:r w:rsidR="00ED3BDA">
        <w:t>of activities</w:t>
      </w:r>
      <w:r w:rsidRPr="009D5E35">
        <w:t xml:space="preserve"> in a region is customarily represented by the size of a population or by one of the economic efficiency indicators s</w:t>
      </w:r>
      <w:r w:rsidR="00D453BB" w:rsidRPr="009D5E35">
        <w:t>uch as gross domestic product. Very h</w:t>
      </w:r>
      <w:r w:rsidRPr="009D5E35">
        <w:t>igh correlation coefficients</w:t>
      </w:r>
      <w:r w:rsidR="00A81F65">
        <w:t xml:space="preserve"> (</w:t>
      </w:r>
      <w:proofErr w:type="spellStart"/>
      <w:r w:rsidR="00A81F65" w:rsidRPr="00D2661A">
        <w:t>Spiekermann</w:t>
      </w:r>
      <w:proofErr w:type="spellEnd"/>
      <w:r w:rsidR="00A81F65">
        <w:t xml:space="preserve"> &amp; Neubauer, 2002)</w:t>
      </w:r>
      <w:r w:rsidRPr="009D5E35">
        <w:t xml:space="preserve"> were found between the indicators of potential accessibility calculated using population </w:t>
      </w:r>
      <w:r w:rsidR="00E52AC8">
        <w:t xml:space="preserve">size </w:t>
      </w:r>
      <w:r w:rsidRPr="009D5E35">
        <w:t>and the indicators calculated using gross domestic product, for various areas in the European Union. Note that in most cases, the size of the population constitutes a good approximation to a large variety of parameters, such as accessibility to services and markets, employment opportunities, and other economic characteristics.</w:t>
      </w:r>
    </w:p>
    <w:p w14:paraId="2DE2831C" w14:textId="59D8301F" w:rsidR="007E6F84" w:rsidRPr="009D5E35" w:rsidRDefault="00CE1B12" w:rsidP="00DE2A44">
      <w:pPr>
        <w:pStyle w:val="body"/>
      </w:pPr>
      <w:r w:rsidRPr="009D5E35">
        <w:t xml:space="preserve">In the index presented in this publication, </w:t>
      </w:r>
      <w:r w:rsidRPr="009D5E35">
        <w:rPr>
          <w:b/>
          <w:bCs/>
        </w:rPr>
        <w:t xml:space="preserve">the </w:t>
      </w:r>
      <w:r w:rsidR="00A9264D">
        <w:rPr>
          <w:b/>
          <w:bCs/>
        </w:rPr>
        <w:t>intensity</w:t>
      </w:r>
      <w:r w:rsidRPr="009D5E35">
        <w:rPr>
          <w:b/>
          <w:bCs/>
        </w:rPr>
        <w:t xml:space="preserve"> of </w:t>
      </w:r>
      <w:r w:rsidR="00E52AC8">
        <w:rPr>
          <w:b/>
          <w:bCs/>
        </w:rPr>
        <w:t xml:space="preserve">activities in </w:t>
      </w:r>
      <w:r w:rsidRPr="009D5E35">
        <w:rPr>
          <w:b/>
          <w:bCs/>
        </w:rPr>
        <w:t>a locality is measured by its population size (P)</w:t>
      </w:r>
      <w:r w:rsidRPr="009D5E35">
        <w:t xml:space="preserve">. Proximity to </w:t>
      </w:r>
      <w:r w:rsidR="007806BA" w:rsidRPr="009D5E35">
        <w:t xml:space="preserve">the </w:t>
      </w:r>
      <w:r w:rsidRPr="009D5E35">
        <w:t xml:space="preserve">population concentrations </w:t>
      </w:r>
      <w:r w:rsidR="007806BA" w:rsidRPr="009D5E35">
        <w:t>reflects</w:t>
      </w:r>
      <w:r w:rsidRPr="009D5E35">
        <w:t xml:space="preserve"> proximity to economic activity or t</w:t>
      </w:r>
      <w:r w:rsidR="007806BA" w:rsidRPr="009D5E35">
        <w:t>o</w:t>
      </w:r>
      <w:r w:rsidRPr="009D5E35">
        <w:t xml:space="preserve"> </w:t>
      </w:r>
      <w:r w:rsidR="00D90DAB" w:rsidRPr="009D5E35">
        <w:t>possibilities of economic activity.</w:t>
      </w:r>
    </w:p>
    <w:p w14:paraId="65CC9393" w14:textId="77777777" w:rsidR="009A541C" w:rsidRPr="009D5E35" w:rsidRDefault="009A541C" w:rsidP="00230FB8">
      <w:pPr>
        <w:pStyle w:val="3"/>
        <w:numPr>
          <w:ilvl w:val="0"/>
          <w:numId w:val="23"/>
        </w:numPr>
        <w:ind w:left="357" w:hanging="357"/>
      </w:pPr>
      <w:bookmarkStart w:id="44" w:name="_Toc127808130"/>
      <w:bookmarkStart w:id="45" w:name="_Toc371427"/>
      <w:bookmarkStart w:id="46" w:name="_Toc149219673"/>
      <w:r w:rsidRPr="00D543D2">
        <w:t>Travel</w:t>
      </w:r>
      <w:r w:rsidR="007806BA" w:rsidRPr="00D543D2">
        <w:t xml:space="preserve"> Impedance</w:t>
      </w:r>
      <w:bookmarkEnd w:id="44"/>
      <w:bookmarkEnd w:id="45"/>
      <w:bookmarkEnd w:id="46"/>
    </w:p>
    <w:p w14:paraId="74465666" w14:textId="7EA1B38E" w:rsidR="008301AD" w:rsidRPr="009D5E35" w:rsidRDefault="009A541C" w:rsidP="00DE2A44">
      <w:pPr>
        <w:pStyle w:val="body"/>
      </w:pPr>
      <w:r w:rsidRPr="009D5E35">
        <w:t xml:space="preserve">The most general definition of the impedance of traveling from one region to another </w:t>
      </w:r>
      <w:r w:rsidR="006B491F">
        <w:t>includes</w:t>
      </w:r>
      <w:r w:rsidRPr="009D5E35">
        <w:t xml:space="preserve"> both spatial and non-spatial impedance</w:t>
      </w:r>
      <w:r w:rsidR="00A81F65">
        <w:t xml:space="preserve"> (Wegener et al., 2000)</w:t>
      </w:r>
      <w:r w:rsidRPr="009D5E35">
        <w:t>.</w:t>
      </w:r>
    </w:p>
    <w:p w14:paraId="496D8BC1" w14:textId="77777777" w:rsidR="00FA3CB0" w:rsidRPr="009D5E35" w:rsidRDefault="008301AD" w:rsidP="0056674E">
      <w:pPr>
        <w:pStyle w:val="body"/>
        <w:numPr>
          <w:ilvl w:val="0"/>
          <w:numId w:val="11"/>
        </w:numPr>
        <w:ind w:left="426" w:hanging="426"/>
      </w:pPr>
      <w:r w:rsidRPr="009D5E35">
        <w:t>Spatial impedan</w:t>
      </w:r>
      <w:r w:rsidR="00FA3CB0" w:rsidRPr="009D5E35">
        <w:t>ce refers to</w:t>
      </w:r>
      <w:r w:rsidRPr="009D5E35">
        <w:t xml:space="preserve"> impedance of time, space, and cost of the trip between two regions. </w:t>
      </w:r>
      <w:r w:rsidR="00FA3CB0" w:rsidRPr="009D5E35">
        <w:t xml:space="preserve">The calculation of travel time </w:t>
      </w:r>
      <w:proofErr w:type="gramStart"/>
      <w:r w:rsidR="00FA3CB0" w:rsidRPr="009D5E35">
        <w:t>takes into account</w:t>
      </w:r>
      <w:proofErr w:type="gramEnd"/>
      <w:r w:rsidR="00FA3CB0" w:rsidRPr="009D5E35">
        <w:t xml:space="preserve"> the integration of vehicles along the way, </w:t>
      </w:r>
      <w:r w:rsidR="001402DE">
        <w:t>various regulations</w:t>
      </w:r>
      <w:r w:rsidR="00FA3CB0" w:rsidRPr="009D5E35">
        <w:t xml:space="preserve"> and constraints such as speed limit, waiting time in traffic, accessibility to transportation networks at each end of the trip</w:t>
      </w:r>
      <w:r w:rsidR="001402DE">
        <w:t>, and so on</w:t>
      </w:r>
      <w:r w:rsidR="00FA3CB0" w:rsidRPr="009D5E35">
        <w:t>. The ease of traveling from home or office to the closest train can be more important in measuring accessibility than the speed of the inter-regional train.</w:t>
      </w:r>
      <w:r w:rsidR="00D453BB" w:rsidRPr="009D5E35">
        <w:t xml:space="preserve"> The influence of various factors can b</w:t>
      </w:r>
      <w:r w:rsidR="00CC6F21">
        <w:t>e</w:t>
      </w:r>
      <w:r w:rsidR="00D453BB" w:rsidRPr="009D5E35">
        <w:t xml:space="preserve"> asymmetric, such that the value of the impedance between each two regions can depend on the direction of travel.</w:t>
      </w:r>
    </w:p>
    <w:p w14:paraId="0A9738F8" w14:textId="1C724846" w:rsidR="007806BA" w:rsidRPr="009D5E35" w:rsidRDefault="00FA3CB0" w:rsidP="0056674E">
      <w:pPr>
        <w:pStyle w:val="body"/>
        <w:ind w:left="426"/>
      </w:pPr>
      <w:r w:rsidRPr="009D5E35">
        <w:t xml:space="preserve">Calculation of travel time is a complicated process that is based on searching for the fastest </w:t>
      </w:r>
      <w:r w:rsidR="00D543D2" w:rsidRPr="009D5E35">
        <w:t xml:space="preserve">transportation </w:t>
      </w:r>
      <w:r w:rsidR="00D543D2">
        <w:t>route</w:t>
      </w:r>
      <w:r w:rsidR="000E2B59" w:rsidRPr="009D5E35">
        <w:t xml:space="preserve"> in the multi-</w:t>
      </w:r>
      <w:r w:rsidR="000E2B59" w:rsidRPr="00D543D2">
        <w:t>mode</w:t>
      </w:r>
      <w:r w:rsidR="000E2B59" w:rsidRPr="009D5E35">
        <w:t xml:space="preserve"> transportation network</w:t>
      </w:r>
      <w:r w:rsidR="00052324">
        <w:t>,</w:t>
      </w:r>
      <w:r w:rsidRPr="009D5E35">
        <w:t xml:space="preserve"> </w:t>
      </w:r>
      <w:r w:rsidR="000E2B59" w:rsidRPr="009D5E35">
        <w:t xml:space="preserve">which also </w:t>
      </w:r>
      <w:r w:rsidR="000E2B59" w:rsidRPr="00052324">
        <w:t>requires</w:t>
      </w:r>
      <w:r w:rsidR="00052324">
        <w:t xml:space="preserve"> </w:t>
      </w:r>
      <w:r w:rsidR="00DE1EC2" w:rsidRPr="009D5E35">
        <w:t xml:space="preserve">analysis of the influences of time of day. If the extent of transportation infrastructure and the quality of </w:t>
      </w:r>
      <w:r w:rsidR="00DE1EC2" w:rsidRPr="00052324">
        <w:t>transport services</w:t>
      </w:r>
      <w:r w:rsidR="00DE1EC2" w:rsidRPr="009D5E35">
        <w:t xml:space="preserve"> between the regions are more or less </w:t>
      </w:r>
      <w:r w:rsidR="00E52AC8">
        <w:t>uniform</w:t>
      </w:r>
      <w:r w:rsidR="00BA60F0" w:rsidRPr="009D5E35">
        <w:t>, the distance on the transportation routes is a reliable tool for the purpose of measuring accessibility</w:t>
      </w:r>
      <w:r w:rsidR="00A81F65">
        <w:t xml:space="preserve"> (</w:t>
      </w:r>
      <w:proofErr w:type="spellStart"/>
      <w:r w:rsidR="00A81F65">
        <w:t>Portnov</w:t>
      </w:r>
      <w:proofErr w:type="spellEnd"/>
      <w:r w:rsidR="00A81F65">
        <w:t xml:space="preserve"> &amp; </w:t>
      </w:r>
      <w:proofErr w:type="spellStart"/>
      <w:r w:rsidR="00A81F65">
        <w:t>Erell</w:t>
      </w:r>
      <w:proofErr w:type="spellEnd"/>
      <w:r w:rsidR="00A81F65">
        <w:t>, 2001)</w:t>
      </w:r>
      <w:r w:rsidR="00BA60F0" w:rsidRPr="009D5E35">
        <w:t>.</w:t>
      </w:r>
    </w:p>
    <w:p w14:paraId="66712B01" w14:textId="77777777" w:rsidR="00A90D73" w:rsidRPr="009D5E35" w:rsidRDefault="00A90D73" w:rsidP="0056674E">
      <w:pPr>
        <w:pStyle w:val="body"/>
        <w:numPr>
          <w:ilvl w:val="0"/>
          <w:numId w:val="11"/>
        </w:numPr>
        <w:ind w:left="426" w:hanging="426"/>
      </w:pPr>
      <w:r w:rsidRPr="009D5E35">
        <w:t xml:space="preserve">Non-spatial impedance refers to political, economic, and cultural links </w:t>
      </w:r>
      <w:r w:rsidR="00535401" w:rsidRPr="009D5E35">
        <w:t>or</w:t>
      </w:r>
      <w:r w:rsidRPr="009D5E35">
        <w:t xml:space="preserve"> barriers that influence the decision to travel from one region to another, and thus increase or decrease the regions’ accessibility. Non-spatial factors can also be asymmetric, for example, </w:t>
      </w:r>
      <w:r w:rsidR="00535401" w:rsidRPr="009D5E35">
        <w:t>knowledge of the language</w:t>
      </w:r>
      <w:r w:rsidR="001402DE">
        <w:t xml:space="preserve"> of another region</w:t>
      </w:r>
      <w:r w:rsidR="00A07C86">
        <w:t xml:space="preserve">, or the </w:t>
      </w:r>
      <w:r w:rsidR="00E52AC8" w:rsidRPr="009D5E35">
        <w:t xml:space="preserve">economic and political </w:t>
      </w:r>
      <w:r w:rsidR="001402DE">
        <w:t>rules</w:t>
      </w:r>
      <w:r w:rsidR="00E52AC8" w:rsidRPr="009D5E35">
        <w:t xml:space="preserve"> </w:t>
      </w:r>
      <w:r w:rsidR="00A07C86">
        <w:t>and</w:t>
      </w:r>
      <w:r w:rsidR="00E52AC8" w:rsidRPr="009D5E35">
        <w:t xml:space="preserve"> regulations </w:t>
      </w:r>
      <w:r w:rsidR="00535401" w:rsidRPr="009D5E35">
        <w:t xml:space="preserve">of </w:t>
      </w:r>
      <w:r w:rsidR="00E52AC8">
        <w:t>another</w:t>
      </w:r>
      <w:r w:rsidR="00535401" w:rsidRPr="009D5E35">
        <w:t xml:space="preserve"> region</w:t>
      </w:r>
      <w:r w:rsidR="00E52AC8">
        <w:t>.</w:t>
      </w:r>
    </w:p>
    <w:p w14:paraId="1E8BA5F3" w14:textId="77777777" w:rsidR="001F3FB7" w:rsidRPr="009D5E35" w:rsidRDefault="001402DE" w:rsidP="0056674E">
      <w:pPr>
        <w:pStyle w:val="body"/>
        <w:ind w:left="426"/>
      </w:pPr>
      <w:r>
        <w:t>It is emphasized in t</w:t>
      </w:r>
      <w:r w:rsidR="001F3FB7" w:rsidRPr="009D5E35">
        <w:t>he literature</w:t>
      </w:r>
      <w:r w:rsidR="00A81F65">
        <w:t xml:space="preserve"> (</w:t>
      </w:r>
      <w:proofErr w:type="spellStart"/>
      <w:r w:rsidR="00A81F65">
        <w:t>Copus</w:t>
      </w:r>
      <w:proofErr w:type="spellEnd"/>
      <w:r w:rsidR="00A81F65">
        <w:t>, 1999)</w:t>
      </w:r>
      <w:r w:rsidR="001F3FB7" w:rsidRPr="009D5E35">
        <w:t xml:space="preserve"> </w:t>
      </w:r>
      <w:r w:rsidR="000847E9" w:rsidRPr="009D5E35">
        <w:t>that</w:t>
      </w:r>
      <w:r w:rsidRPr="001402DE">
        <w:t xml:space="preserve"> </w:t>
      </w:r>
      <w:r>
        <w:t>a decision</w:t>
      </w:r>
      <w:r w:rsidRPr="009D5E35">
        <w:t xml:space="preserve"> to invest or settle in a particular region</w:t>
      </w:r>
      <w:r>
        <w:t xml:space="preserve"> </w:t>
      </w:r>
      <w:r w:rsidR="000847E9" w:rsidRPr="009D5E35">
        <w:t>is not necessarily</w:t>
      </w:r>
      <w:r>
        <w:t xml:space="preserve"> affected by</w:t>
      </w:r>
      <w:r w:rsidR="000847E9" w:rsidRPr="009D5E35">
        <w:t xml:space="preserve"> the actual cost of a trip, but </w:t>
      </w:r>
      <w:r w:rsidR="000847E9" w:rsidRPr="009D5E35">
        <w:lastRenderedPageBreak/>
        <w:t xml:space="preserve">rather </w:t>
      </w:r>
      <w:r>
        <w:t>by</w:t>
      </w:r>
      <w:r w:rsidR="000847E9" w:rsidRPr="009D5E35">
        <w:t xml:space="preserve"> </w:t>
      </w:r>
      <w:r w:rsidR="007A0081">
        <w:t xml:space="preserve">the </w:t>
      </w:r>
      <w:r w:rsidR="000847E9" w:rsidRPr="009D5E35">
        <w:t>perceived cost and the convenience and ease of travel to the centres of economic activity.</w:t>
      </w:r>
      <w:r w:rsidR="004077FE" w:rsidRPr="009D5E35">
        <w:t xml:space="preserve"> The choice of impedance variable should therefore </w:t>
      </w:r>
      <w:proofErr w:type="gramStart"/>
      <w:r w:rsidR="004077FE" w:rsidRPr="009D5E35">
        <w:t>take into account</w:t>
      </w:r>
      <w:proofErr w:type="gramEnd"/>
      <w:r w:rsidR="004077FE" w:rsidRPr="009D5E35">
        <w:t xml:space="preserve"> the prevalent perceptions of distance among the local population or among potential investors and immigrants.</w:t>
      </w:r>
    </w:p>
    <w:p w14:paraId="6E6A13EC" w14:textId="674B584E" w:rsidR="004077FE" w:rsidRPr="009D5E35" w:rsidRDefault="001402DE" w:rsidP="00DE2A44">
      <w:pPr>
        <w:pStyle w:val="body"/>
      </w:pPr>
      <w:r>
        <w:t>Based on data availability, i</w:t>
      </w:r>
      <w:r w:rsidR="008F1B74" w:rsidRPr="009D5E35">
        <w:t xml:space="preserve">n the index presented in this publication, </w:t>
      </w:r>
      <w:r w:rsidR="008F1B74" w:rsidRPr="00943085">
        <w:rPr>
          <w:b/>
          <w:bCs/>
        </w:rPr>
        <w:t>travel impedance</w:t>
      </w:r>
      <w:r w:rsidR="001A6F76" w:rsidRPr="00943085">
        <w:rPr>
          <w:b/>
          <w:bCs/>
        </w:rPr>
        <w:t xml:space="preserve"> is measured </w:t>
      </w:r>
      <w:r w:rsidR="00FA1789" w:rsidRPr="00943085">
        <w:rPr>
          <w:b/>
          <w:bCs/>
        </w:rPr>
        <w:t>by</w:t>
      </w:r>
      <w:r w:rsidR="001A6F76" w:rsidRPr="00943085">
        <w:rPr>
          <w:b/>
          <w:bCs/>
        </w:rPr>
        <w:t xml:space="preserve"> </w:t>
      </w:r>
      <w:r w:rsidR="008F1B74" w:rsidRPr="00943085">
        <w:rPr>
          <w:b/>
          <w:bCs/>
        </w:rPr>
        <w:t xml:space="preserve">distance (d), which is the travel distance </w:t>
      </w:r>
      <w:r w:rsidRPr="00943085">
        <w:rPr>
          <w:b/>
          <w:bCs/>
        </w:rPr>
        <w:t>via</w:t>
      </w:r>
      <w:r w:rsidR="008F1B74" w:rsidRPr="00943085">
        <w:rPr>
          <w:b/>
          <w:bCs/>
        </w:rPr>
        <w:t xml:space="preserve"> the shortest route on </w:t>
      </w:r>
      <w:r w:rsidR="001A6F76" w:rsidRPr="00943085">
        <w:rPr>
          <w:b/>
          <w:bCs/>
        </w:rPr>
        <w:t xml:space="preserve">roads open </w:t>
      </w:r>
      <w:r w:rsidR="008F1B74" w:rsidRPr="00943085">
        <w:rPr>
          <w:b/>
          <w:bCs/>
        </w:rPr>
        <w:t xml:space="preserve">to traffic </w:t>
      </w:r>
      <w:r w:rsidR="001A6F76" w:rsidRPr="00943085">
        <w:rPr>
          <w:b/>
          <w:bCs/>
        </w:rPr>
        <w:t>(</w:t>
      </w:r>
      <w:r w:rsidR="00FA1789" w:rsidRPr="00943085">
        <w:rPr>
          <w:b/>
          <w:bCs/>
        </w:rPr>
        <w:t>and not closed due to</w:t>
      </w:r>
      <w:r w:rsidR="001A6F76" w:rsidRPr="00943085">
        <w:rPr>
          <w:b/>
          <w:bCs/>
        </w:rPr>
        <w:t xml:space="preserve"> </w:t>
      </w:r>
      <w:r w:rsidR="00FA1789" w:rsidRPr="00943085">
        <w:rPr>
          <w:b/>
          <w:bCs/>
        </w:rPr>
        <w:t xml:space="preserve">reasons of </w:t>
      </w:r>
      <w:r w:rsidR="001A6F76" w:rsidRPr="00943085">
        <w:rPr>
          <w:b/>
          <w:bCs/>
        </w:rPr>
        <w:t xml:space="preserve">security </w:t>
      </w:r>
      <w:r w:rsidR="00FA1789" w:rsidRPr="00943085">
        <w:rPr>
          <w:b/>
          <w:bCs/>
        </w:rPr>
        <w:t>or</w:t>
      </w:r>
      <w:r w:rsidR="001A6F76" w:rsidRPr="00943085">
        <w:rPr>
          <w:b/>
          <w:bCs/>
        </w:rPr>
        <w:t xml:space="preserve"> construction)</w:t>
      </w:r>
      <w:r w:rsidR="001A6F76" w:rsidRPr="009D5E35">
        <w:t xml:space="preserve"> </w:t>
      </w:r>
      <w:r>
        <w:t>(see explanation in Chapter D</w:t>
      </w:r>
      <w:r w:rsidR="001A6F76" w:rsidRPr="009D5E35">
        <w:t>).</w:t>
      </w:r>
    </w:p>
    <w:p w14:paraId="768B2ADC" w14:textId="77777777" w:rsidR="0076216D" w:rsidRPr="009D5E35" w:rsidRDefault="0076216D" w:rsidP="00230FB8">
      <w:pPr>
        <w:pStyle w:val="3"/>
        <w:numPr>
          <w:ilvl w:val="0"/>
          <w:numId w:val="23"/>
        </w:numPr>
        <w:ind w:left="357" w:hanging="357"/>
      </w:pPr>
      <w:bookmarkStart w:id="47" w:name="_Toc127808131"/>
      <w:bookmarkStart w:id="48" w:name="_Toc371428"/>
      <w:bookmarkStart w:id="49" w:name="_Toc149219674"/>
      <w:r w:rsidRPr="00052324">
        <w:t>Internal Impedance</w:t>
      </w:r>
      <w:bookmarkEnd w:id="47"/>
      <w:bookmarkEnd w:id="48"/>
      <w:bookmarkEnd w:id="49"/>
    </w:p>
    <w:p w14:paraId="53F829F0" w14:textId="50878EFD" w:rsidR="00823ECE" w:rsidRPr="009D5E35" w:rsidRDefault="00823ECE" w:rsidP="00DE2A44">
      <w:pPr>
        <w:pStyle w:val="body"/>
      </w:pPr>
      <w:r w:rsidRPr="009D5E35">
        <w:t xml:space="preserve">The potential accessibility formula for a region includes the component </w:t>
      </w:r>
      <w:r w:rsidR="00FA1789">
        <w:t>of</w:t>
      </w:r>
      <w:r w:rsidRPr="009D5E35">
        <w:t xml:space="preserve"> </w:t>
      </w:r>
      <w:r w:rsidR="00FC1B00" w:rsidRPr="009D5E35">
        <w:t xml:space="preserve">the economic </w:t>
      </w:r>
      <w:r w:rsidR="00A9264D" w:rsidRPr="00A9264D">
        <w:t>intensity</w:t>
      </w:r>
      <w:r w:rsidR="00FC1B00" w:rsidRPr="009D5E35">
        <w:t xml:space="preserve"> of the region itself weighted by a decreasing function of the </w:t>
      </w:r>
      <w:r w:rsidR="00FC1B00" w:rsidRPr="00052324">
        <w:t>internal impedance</w:t>
      </w:r>
      <w:r w:rsidR="00FC1B00" w:rsidRPr="009D5E35">
        <w:t xml:space="preserve"> (the self-distance </w:t>
      </w:r>
      <w:r w:rsidR="00FC1B00" w:rsidRPr="00A35857">
        <w:t>d</w:t>
      </w:r>
      <w:r w:rsidR="00FC1B00" w:rsidRPr="00A35857">
        <w:rPr>
          <w:vertAlign w:val="subscript"/>
        </w:rPr>
        <w:t>ii</w:t>
      </w:r>
      <w:r w:rsidR="00FC1B00" w:rsidRPr="009D5E35">
        <w:t>)</w:t>
      </w:r>
    </w:p>
    <w:p w14:paraId="726DCB4E" w14:textId="77777777" w:rsidR="00FC1B00" w:rsidRPr="009D5E35" w:rsidRDefault="00FC1B00" w:rsidP="00DE2A44">
      <w:pPr>
        <w:pStyle w:val="body"/>
      </w:pPr>
      <w:r w:rsidRPr="009D5E35">
        <w:t>The theoretical literature contains various approaches for the definition of self-distance. These approaches are divided into two main definitions:</w:t>
      </w:r>
    </w:p>
    <w:p w14:paraId="791D577C" w14:textId="7B8553E7" w:rsidR="00FC1B00" w:rsidRDefault="007F1B15" w:rsidP="007D064C">
      <w:pPr>
        <w:pStyle w:val="body"/>
        <w:numPr>
          <w:ilvl w:val="1"/>
          <w:numId w:val="31"/>
        </w:numPr>
        <w:tabs>
          <w:tab w:val="right" w:pos="426"/>
        </w:tabs>
        <w:ind w:left="426" w:hanging="426"/>
      </w:pPr>
      <w:r w:rsidRPr="009D5E35">
        <w:t>Self-distance is defined as t</w:t>
      </w:r>
      <w:r w:rsidR="00FC1B00" w:rsidRPr="009D5E35">
        <w:t>he same average value for all the investigated units</w:t>
      </w:r>
      <w:r w:rsidR="00DA2979">
        <w:t xml:space="preserve"> </w:t>
      </w:r>
      <w:r w:rsidR="001402DE">
        <w:t>(</w:t>
      </w:r>
      <w:proofErr w:type="spellStart"/>
      <w:r w:rsidR="00DA2979" w:rsidRPr="00D2661A">
        <w:t>Shürmann</w:t>
      </w:r>
      <w:proofErr w:type="spellEnd"/>
      <w:r w:rsidR="00DA2979">
        <w:t xml:space="preserve"> </w:t>
      </w:r>
      <w:r w:rsidR="00DA2979" w:rsidRPr="00D2661A">
        <w:t xml:space="preserve">&amp; </w:t>
      </w:r>
      <w:proofErr w:type="spellStart"/>
      <w:r w:rsidR="00DA2979" w:rsidRPr="00D2661A">
        <w:t>Talaat</w:t>
      </w:r>
      <w:proofErr w:type="spellEnd"/>
      <w:r w:rsidR="00DA2979">
        <w:t>, 200</w:t>
      </w:r>
      <w:r w:rsidR="007E3D02">
        <w:t>0</w:t>
      </w:r>
      <w:r w:rsidR="00DA2979">
        <w:t>; Wang &amp; Minor, 2002)</w:t>
      </w:r>
      <w:r w:rsidR="00FC1B00" w:rsidRPr="009D5E35">
        <w:t>.</w:t>
      </w:r>
    </w:p>
    <w:p w14:paraId="75B21C77" w14:textId="77777777" w:rsidR="00422405" w:rsidRPr="009D5E35" w:rsidRDefault="00422405" w:rsidP="007D064C">
      <w:pPr>
        <w:pStyle w:val="body"/>
        <w:ind w:left="720"/>
      </w:pPr>
      <w:r w:rsidRPr="009D5E35">
        <w:t xml:space="preserve">According to this definition, self-distance serves as a balance parameter that maintains proportionality between economic </w:t>
      </w:r>
      <w:r>
        <w:t>intensities</w:t>
      </w:r>
      <w:r w:rsidRPr="009D5E35">
        <w:t xml:space="preserve"> represented by different population sizes.</w:t>
      </w:r>
    </w:p>
    <w:p w14:paraId="4CFAFB23" w14:textId="44F0B682" w:rsidR="00422405" w:rsidRPr="009D5E35" w:rsidRDefault="00422405" w:rsidP="007D064C">
      <w:pPr>
        <w:pStyle w:val="body"/>
        <w:numPr>
          <w:ilvl w:val="1"/>
          <w:numId w:val="31"/>
        </w:numPr>
        <w:tabs>
          <w:tab w:val="right" w:pos="426"/>
        </w:tabs>
        <w:ind w:hanging="1440"/>
      </w:pPr>
      <w:r w:rsidRPr="009D5E35">
        <w:t>Self-distance is defined as a function of the region’s area.</w:t>
      </w:r>
    </w:p>
    <w:p w14:paraId="53815BEF" w14:textId="77777777" w:rsidR="00422405" w:rsidRPr="009D5E35" w:rsidRDefault="00422405" w:rsidP="007D064C">
      <w:pPr>
        <w:pStyle w:val="body"/>
        <w:ind w:left="720"/>
      </w:pPr>
      <w:r w:rsidRPr="009D5E35">
        <w:t>For example, one-third of the length of the major axis of the minimum rectangle that contains the region, or half the radius of the circle with the same area</w:t>
      </w:r>
      <w:r>
        <w:t xml:space="preserve"> (</w:t>
      </w:r>
      <w:proofErr w:type="spellStart"/>
      <w:r>
        <w:t>Copus</w:t>
      </w:r>
      <w:proofErr w:type="spellEnd"/>
      <w:r>
        <w:t>, 1999; Frost &amp; Spence, 1995; Stewart, 1947)</w:t>
      </w:r>
      <w:r w:rsidRPr="009D5E35">
        <w:t xml:space="preserve">. According to these definitions, when constructing the index at the level of the localities in Israel, </w:t>
      </w:r>
      <w:r w:rsidRPr="00C63A37">
        <w:t xml:space="preserve">one </w:t>
      </w:r>
      <w:r>
        <w:t>would increase</w:t>
      </w:r>
      <w:r w:rsidRPr="009D5E35">
        <w:t xml:space="preserve"> the </w:t>
      </w:r>
      <w:r w:rsidRPr="00A9264D">
        <w:t>intensity</w:t>
      </w:r>
      <w:r w:rsidRPr="009D5E35">
        <w:t xml:space="preserve"> of a small local population (which usually lives in a relatively small area) and </w:t>
      </w:r>
      <w:r>
        <w:t>decrease</w:t>
      </w:r>
      <w:r w:rsidRPr="009D5E35">
        <w:t xml:space="preserve"> the </w:t>
      </w:r>
      <w:r w:rsidRPr="00A9264D">
        <w:t>intensity</w:t>
      </w:r>
      <w:r w:rsidRPr="009D5E35">
        <w:t xml:space="preserve"> of a large local population.</w:t>
      </w:r>
    </w:p>
    <w:p w14:paraId="24B0C115" w14:textId="65E58C88" w:rsidR="00D93072" w:rsidRPr="009D5E35" w:rsidRDefault="00E13B9B" w:rsidP="00DE2A44">
      <w:pPr>
        <w:pStyle w:val="body"/>
      </w:pPr>
      <w:r w:rsidRPr="009D5E35">
        <w:t xml:space="preserve">As part of the construction of the </w:t>
      </w:r>
      <w:r w:rsidR="00D31603">
        <w:t>Peripherality Index 2004</w:t>
      </w:r>
      <w:r w:rsidRPr="009D5E35">
        <w:t>, the influ</w:t>
      </w:r>
      <w:r w:rsidR="00443F8C">
        <w:t>ence of different definitions of the self-distance on</w:t>
      </w:r>
      <w:r w:rsidRPr="009D5E35">
        <w:t xml:space="preserve"> the rankings of the local authorities was analysed</w:t>
      </w:r>
      <w:r w:rsidR="00DA2979">
        <w:t xml:space="preserve"> (Tsibel, 2009)</w:t>
      </w:r>
      <w:r w:rsidRPr="009D5E35">
        <w:t xml:space="preserve">. A uniform self-distance of 3 km yielded the best balance. After several more tests, this definition was </w:t>
      </w:r>
      <w:r w:rsidR="001E0688">
        <w:t xml:space="preserve">also </w:t>
      </w:r>
      <w:r w:rsidRPr="009D5E35">
        <w:t xml:space="preserve">used for the </w:t>
      </w:r>
      <w:r w:rsidR="008466EB">
        <w:t>Peripherality Index 2015</w:t>
      </w:r>
      <w:r w:rsidRPr="009D5E35">
        <w:t xml:space="preserve"> </w:t>
      </w:r>
      <w:r w:rsidR="00272142">
        <w:t>and for the Peripherality Index 2020</w:t>
      </w:r>
      <w:r w:rsidR="001E0688">
        <w:t xml:space="preserve"> </w:t>
      </w:r>
      <w:r w:rsidRPr="009D5E35">
        <w:t>presented in this publication.</w:t>
      </w:r>
    </w:p>
    <w:p w14:paraId="2BEC13A1" w14:textId="77777777" w:rsidR="00E13B9B" w:rsidRPr="009D5E35" w:rsidRDefault="00E13B9B" w:rsidP="00230FB8">
      <w:pPr>
        <w:pStyle w:val="3"/>
        <w:numPr>
          <w:ilvl w:val="0"/>
          <w:numId w:val="23"/>
        </w:numPr>
        <w:ind w:left="357" w:hanging="357"/>
      </w:pPr>
      <w:bookmarkStart w:id="50" w:name="_Toc127808132"/>
      <w:bookmarkStart w:id="51" w:name="_Toc371429"/>
      <w:bookmarkStart w:id="52" w:name="_Toc149219675"/>
      <w:r w:rsidRPr="009D5E35">
        <w:t>Impedance Function</w:t>
      </w:r>
      <w:bookmarkEnd w:id="50"/>
      <w:bookmarkEnd w:id="51"/>
      <w:bookmarkEnd w:id="52"/>
    </w:p>
    <w:p w14:paraId="1AB9C887" w14:textId="77777777" w:rsidR="00E13B9B" w:rsidRPr="009D5E35" w:rsidRDefault="00E13B9B" w:rsidP="00DE2A44">
      <w:pPr>
        <w:pStyle w:val="body"/>
      </w:pPr>
      <w:r w:rsidRPr="009D5E35">
        <w:t>An impedance function is defined as a decreasing function that describes the ease of moving from one region to another.</w:t>
      </w:r>
    </w:p>
    <w:p w14:paraId="644EAFFE" w14:textId="77777777" w:rsidR="00E13B9B" w:rsidRPr="009D5E35" w:rsidRDefault="00120E7F" w:rsidP="00DE2A44">
      <w:pPr>
        <w:pStyle w:val="body"/>
      </w:pPr>
      <w:r w:rsidRPr="009D5E35">
        <w:lastRenderedPageBreak/>
        <w:t>Out of</w:t>
      </w:r>
      <w:r w:rsidR="00E13B9B" w:rsidRPr="009D5E35">
        <w:t xml:space="preserve"> a number of models</w:t>
      </w:r>
      <w:r w:rsidR="00DA2979">
        <w:t xml:space="preserve"> </w:t>
      </w:r>
      <w:r w:rsidR="00443F8C">
        <w:t>(</w:t>
      </w:r>
      <w:r w:rsidR="00DA2979">
        <w:t xml:space="preserve">Hansen, 1959; </w:t>
      </w:r>
      <w:proofErr w:type="spellStart"/>
      <w:r w:rsidR="00DA2979">
        <w:t>Portnov</w:t>
      </w:r>
      <w:proofErr w:type="spellEnd"/>
      <w:r w:rsidR="00DA2979">
        <w:t xml:space="preserve"> &amp; </w:t>
      </w:r>
      <w:proofErr w:type="spellStart"/>
      <w:r w:rsidR="00DA2979">
        <w:t>Erell</w:t>
      </w:r>
      <w:proofErr w:type="spellEnd"/>
      <w:r w:rsidR="00DA2979">
        <w:t>, 2001; Wilson, 1967)</w:t>
      </w:r>
      <w:r w:rsidR="00E13B9B" w:rsidRPr="009D5E35">
        <w:t xml:space="preserve">, two were </w:t>
      </w:r>
      <w:r w:rsidR="00443F8C">
        <w:t>recognized</w:t>
      </w:r>
      <w:r w:rsidR="00443F8C" w:rsidRPr="009D5E35">
        <w:t xml:space="preserve"> </w:t>
      </w:r>
      <w:r w:rsidR="00443F8C">
        <w:t>as</w:t>
      </w:r>
      <w:r w:rsidRPr="009D5E35">
        <w:t xml:space="preserve"> the </w:t>
      </w:r>
      <w:r w:rsidRPr="00732A5D">
        <w:t>most consistent in describing human behaviour and are</w:t>
      </w:r>
      <w:r w:rsidRPr="009D5E35">
        <w:t xml:space="preserve"> </w:t>
      </w:r>
      <w:r w:rsidRPr="00732A5D">
        <w:t>common</w:t>
      </w:r>
      <w:r w:rsidR="002A02D8" w:rsidRPr="00732A5D">
        <w:t>ly used</w:t>
      </w:r>
      <w:r w:rsidRPr="00732A5D">
        <w:t xml:space="preserve"> in </w:t>
      </w:r>
      <w:r w:rsidR="002A02D8" w:rsidRPr="00732A5D">
        <w:t>applied contexts</w:t>
      </w:r>
      <w:r w:rsidR="002A02D8" w:rsidRPr="009D5E35">
        <w:t xml:space="preserve">: a two-parameter negative exponential function and a one-parameter inverse </w:t>
      </w:r>
      <w:r w:rsidR="00443F8C">
        <w:t>power</w:t>
      </w:r>
      <w:r w:rsidR="002A02D8" w:rsidRPr="009D5E35">
        <w:t xml:space="preserve"> function.</w:t>
      </w:r>
    </w:p>
    <w:p w14:paraId="39C29205" w14:textId="77777777" w:rsidR="002A02D8" w:rsidRPr="009D5E35" w:rsidRDefault="00CB58B7" w:rsidP="00DE2A44">
      <w:pPr>
        <w:pStyle w:val="body"/>
      </w:pPr>
      <w:r>
        <w:t xml:space="preserve">In the construction of </w:t>
      </w:r>
      <w:r w:rsidRPr="009D5E35">
        <w:t xml:space="preserve">the </w:t>
      </w:r>
      <w:r>
        <w:t>Peripherality Index 2004, an</w:t>
      </w:r>
      <w:r w:rsidR="002A02D8" w:rsidRPr="009D5E35">
        <w:t xml:space="preserve"> inverse </w:t>
      </w:r>
      <w:r w:rsidR="00443F8C">
        <w:t>power</w:t>
      </w:r>
      <w:r w:rsidR="00A9264D" w:rsidRPr="009D5E35">
        <w:t xml:space="preserve"> </w:t>
      </w:r>
      <w:r w:rsidR="002A02D8" w:rsidRPr="009D5E35">
        <w:t>function was chosen for</w:t>
      </w:r>
      <w:r>
        <w:t xml:space="preserve"> the model</w:t>
      </w:r>
      <w:r w:rsidR="002A02D8" w:rsidRPr="009D5E35">
        <w:t>:</w:t>
      </w:r>
    </w:p>
    <w:p w14:paraId="78688F1F" w14:textId="281431F2" w:rsidR="002A02D8" w:rsidRPr="009D5E35" w:rsidRDefault="009955A2" w:rsidP="00D1537C">
      <w:pPr>
        <w:pStyle w:val="body"/>
        <w:rPr>
          <w:position w:val="-14"/>
        </w:rPr>
      </w:pPr>
      <w:r>
        <w:rPr>
          <w:noProof/>
          <w:position w:val="-14"/>
        </w:rPr>
        <w:drawing>
          <wp:inline distT="0" distB="0" distL="0" distR="0" wp14:anchorId="4B7B5ED9" wp14:editId="56F27A54">
            <wp:extent cx="787400" cy="254000"/>
            <wp:effectExtent l="0" t="0" r="0" b="0"/>
            <wp:docPr id="3" name="Picture 3" descr="Distance function from region i to region j is equal to the distance in power minus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tance function from region i to region j is equal to the distance in power minus the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7400" cy="254000"/>
                    </a:xfrm>
                    <a:prstGeom prst="rect">
                      <a:avLst/>
                    </a:prstGeom>
                    <a:noFill/>
                    <a:ln>
                      <a:noFill/>
                    </a:ln>
                  </pic:spPr>
                </pic:pic>
              </a:graphicData>
            </a:graphic>
          </wp:inline>
        </w:drawing>
      </w:r>
      <w:r w:rsidR="00CB58B7" w:rsidRPr="009D5E35">
        <w:t>;</w:t>
      </w:r>
      <w:r w:rsidR="00D1537C">
        <w:t xml:space="preserve"> </w:t>
      </w:r>
      <w:r>
        <w:rPr>
          <w:noProof/>
          <w:position w:val="-6"/>
        </w:rPr>
        <w:drawing>
          <wp:inline distT="0" distB="0" distL="0" distR="0" wp14:anchorId="2F4BDE01" wp14:editId="0C909F03">
            <wp:extent cx="355600" cy="184150"/>
            <wp:effectExtent l="0" t="0" r="6350" b="6350"/>
            <wp:docPr id="4" name="Picture 4" descr="Theta greater than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ta greater than zer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5600" cy="184150"/>
                    </a:xfrm>
                    <a:prstGeom prst="rect">
                      <a:avLst/>
                    </a:prstGeom>
                    <a:noFill/>
                    <a:ln>
                      <a:noFill/>
                    </a:ln>
                  </pic:spPr>
                </pic:pic>
              </a:graphicData>
            </a:graphic>
          </wp:inline>
        </w:drawing>
      </w:r>
      <w:r w:rsidR="00D1537C">
        <w:t>.</w:t>
      </w:r>
      <w:r w:rsidR="007159B4" w:rsidRPr="009D5E35">
        <w:t xml:space="preserve"> </w:t>
      </w:r>
    </w:p>
    <w:p w14:paraId="5E479923" w14:textId="552FA2A7" w:rsidR="007159B4" w:rsidRPr="009D5E35" w:rsidRDefault="00E80A86" w:rsidP="00DE2A44">
      <w:pPr>
        <w:pStyle w:val="body"/>
      </w:pPr>
      <w:r w:rsidRPr="009D5E35">
        <w:t xml:space="preserve">The parameter </w:t>
      </w:r>
      <w:r w:rsidRPr="00A35857">
        <w:t>θ</w:t>
      </w:r>
      <w:r w:rsidRPr="00C315B9">
        <w:rPr>
          <w:i/>
          <w:iCs/>
        </w:rPr>
        <w:t>,</w:t>
      </w:r>
      <w:r w:rsidRPr="009D5E35">
        <w:t xml:space="preserve"> which reflects the human tendency to avoid long</w:t>
      </w:r>
      <w:r w:rsidR="00CB58B7">
        <w:t>-distance</w:t>
      </w:r>
      <w:r w:rsidRPr="009D5E35">
        <w:t xml:space="preserve"> trips</w:t>
      </w:r>
      <w:r w:rsidR="00065AEC" w:rsidRPr="009D5E35">
        <w:t>, is called the distance decay parameter or the distance sensitivity parameter. As this parameter increases (</w:t>
      </w:r>
      <w:proofErr w:type="spellStart"/>
      <w:r w:rsidR="00065AEC" w:rsidRPr="009D5E35">
        <w:t>i</w:t>
      </w:r>
      <w:proofErr w:type="spellEnd"/>
      <w:r w:rsidR="00065AEC" w:rsidRPr="009D5E35">
        <w:t>.</w:t>
      </w:r>
      <w:r w:rsidR="00CC6F21">
        <w:t xml:space="preserve"> </w:t>
      </w:r>
      <w:r w:rsidR="00065AEC" w:rsidRPr="009D5E35">
        <w:t xml:space="preserve">e., the sensitivity to distance is greater), close destinations </w:t>
      </w:r>
      <w:r w:rsidR="00065AEC" w:rsidRPr="00732A5D">
        <w:t>receive a greater weight</w:t>
      </w:r>
      <w:r w:rsidR="00065AEC" w:rsidRPr="009D5E35">
        <w:t xml:space="preserve"> in the accessibility formula (1) relative to the weight of </w:t>
      </w:r>
      <w:r w:rsidR="00CB58B7">
        <w:t>remote</w:t>
      </w:r>
      <w:r w:rsidR="00065AEC" w:rsidRPr="009D5E35">
        <w:t xml:space="preserve"> destinations. In other words, the contribution of the </w:t>
      </w:r>
      <w:r w:rsidR="00CB58B7">
        <w:t>remote</w:t>
      </w:r>
      <w:r w:rsidR="00065AEC" w:rsidRPr="009D5E35">
        <w:t xml:space="preserve"> </w:t>
      </w:r>
      <w:r w:rsidR="00CB58B7">
        <w:t>destinations</w:t>
      </w:r>
      <w:r w:rsidR="00065AEC" w:rsidRPr="009D5E35">
        <w:t xml:space="preserve"> to the region’s accessibility </w:t>
      </w:r>
      <w:r w:rsidR="00443F8C">
        <w:t xml:space="preserve">becomes </w:t>
      </w:r>
      <w:r w:rsidR="00065AEC" w:rsidRPr="009D5E35">
        <w:t>even smaller.</w:t>
      </w:r>
    </w:p>
    <w:p w14:paraId="7BCABDBC" w14:textId="77777777" w:rsidR="00065AEC" w:rsidRPr="009D5E35" w:rsidRDefault="007E6253" w:rsidP="00230FB8">
      <w:pPr>
        <w:pStyle w:val="3"/>
        <w:numPr>
          <w:ilvl w:val="0"/>
          <w:numId w:val="23"/>
        </w:numPr>
        <w:ind w:left="357" w:hanging="357"/>
      </w:pPr>
      <w:bookmarkStart w:id="53" w:name="_Toc127808133"/>
      <w:bookmarkStart w:id="54" w:name="_Toc371430"/>
      <w:bookmarkStart w:id="55" w:name="_Toc149219676"/>
      <w:r w:rsidRPr="009D5E35">
        <w:t xml:space="preserve">Distance </w:t>
      </w:r>
      <w:r w:rsidR="00CB58B7">
        <w:t xml:space="preserve">Decay </w:t>
      </w:r>
      <w:r w:rsidR="00C302B0" w:rsidRPr="00F47115">
        <w:t>Parameter</w:t>
      </w:r>
      <w:bookmarkEnd w:id="53"/>
      <w:bookmarkEnd w:id="54"/>
      <w:bookmarkEnd w:id="55"/>
    </w:p>
    <w:p w14:paraId="2BDDD653" w14:textId="77777777" w:rsidR="00C302B0" w:rsidRPr="009D5E35" w:rsidRDefault="00C302B0" w:rsidP="00DE2A44">
      <w:pPr>
        <w:pStyle w:val="body"/>
      </w:pPr>
      <w:r w:rsidRPr="009D5E35">
        <w:t>Estimation of the parameter in the impedance function is based on the use of spatial interaction models.</w:t>
      </w:r>
      <w:r w:rsidR="00DC7C9E" w:rsidRPr="009D5E35">
        <w:t xml:space="preserve"> The commuting model</w:t>
      </w:r>
      <w:r w:rsidR="00CB58B7">
        <w:t xml:space="preserve"> was chosen because it deals with</w:t>
      </w:r>
      <w:r w:rsidR="00DC7C9E" w:rsidRPr="009D5E35">
        <w:t xml:space="preserve"> the </w:t>
      </w:r>
      <w:r w:rsidR="00DC7C9E" w:rsidRPr="00732A5D">
        <w:t xml:space="preserve">main </w:t>
      </w:r>
      <w:r w:rsidR="000A1D9B" w:rsidRPr="00732A5D">
        <w:t>destination</w:t>
      </w:r>
      <w:r w:rsidR="00732A5D">
        <w:t xml:space="preserve"> </w:t>
      </w:r>
      <w:r w:rsidR="00DC7C9E" w:rsidRPr="009D5E35">
        <w:t>of the daily trips</w:t>
      </w:r>
      <w:r w:rsidR="00CB58B7">
        <w:t>. This model</w:t>
      </w:r>
      <w:r w:rsidR="00B20ED5" w:rsidRPr="009D5E35">
        <w:t xml:space="preserve"> links between the number of persons who travel each day to work and the number of workers in the</w:t>
      </w:r>
      <w:r w:rsidR="00732A5D">
        <w:t xml:space="preserve"> region of</w:t>
      </w:r>
      <w:r w:rsidR="00B20ED5" w:rsidRPr="009D5E35">
        <w:t xml:space="preserve"> residen</w:t>
      </w:r>
      <w:r w:rsidR="00732A5D">
        <w:t>ce</w:t>
      </w:r>
      <w:r w:rsidR="00B20ED5" w:rsidRPr="009D5E35">
        <w:t xml:space="preserve">, </w:t>
      </w:r>
      <w:r w:rsidR="000A1D9B">
        <w:t xml:space="preserve">the </w:t>
      </w:r>
      <w:r w:rsidR="00B20ED5" w:rsidRPr="009D5E35">
        <w:t xml:space="preserve">number of workplaces in the </w:t>
      </w:r>
      <w:r w:rsidR="00B20ED5" w:rsidRPr="00732A5D">
        <w:t>regio</w:t>
      </w:r>
      <w:r w:rsidR="00732A5D" w:rsidRPr="00732A5D">
        <w:t>n of work</w:t>
      </w:r>
      <w:r w:rsidR="00B20ED5" w:rsidRPr="009D5E35">
        <w:t>, and the distance between them.</w:t>
      </w:r>
    </w:p>
    <w:p w14:paraId="152CFAEA" w14:textId="77777777" w:rsidR="00B20ED5" w:rsidRPr="00551FFD" w:rsidRDefault="009955A2" w:rsidP="00274FFF">
      <w:pPr>
        <w:pStyle w:val="a3"/>
        <w:numPr>
          <w:ilvl w:val="0"/>
          <w:numId w:val="32"/>
        </w:numPr>
        <w:tabs>
          <w:tab w:val="left" w:pos="848"/>
        </w:tabs>
        <w:spacing w:after="0" w:line="360" w:lineRule="auto"/>
        <w:ind w:left="2552" w:hanging="2552"/>
        <w:rPr>
          <w:rFonts w:ascii="Arial" w:hAnsi="Arial" w:cs="Arial"/>
          <w:sz w:val="24"/>
          <w:szCs w:val="24"/>
          <w:lang w:val="en-US"/>
        </w:rPr>
      </w:pPr>
      <w:r w:rsidRPr="00551FFD">
        <w:rPr>
          <w:rFonts w:ascii="Arial" w:hAnsi="Arial" w:cs="Arial"/>
          <w:noProof/>
          <w:position w:val="-14"/>
          <w:sz w:val="24"/>
          <w:szCs w:val="24"/>
        </w:rPr>
        <w:drawing>
          <wp:inline distT="0" distB="0" distL="0" distR="0" wp14:anchorId="287FBA33" wp14:editId="47170726">
            <wp:extent cx="1136650" cy="234950"/>
            <wp:effectExtent l="0" t="0" r="6350" b="0"/>
            <wp:docPr id="5" name="Picture 5" descr="Number of commuters from residential region i to work region j is approximately equal to constant q, multiplied by number of workers who are residents of region i, multiplied by number of workplaces in region j, multiplied by travel impedance function (trip distance function) from region i to region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mber of commuters from residential region i to work region j is approximately equal to constant q, multiplied by number of workers who are residents of region i, multiplied by number of workplaces in region j, multiplied by travel impedance function (trip distance function) from region i to region j"/>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6650" cy="234950"/>
                    </a:xfrm>
                    <a:prstGeom prst="rect">
                      <a:avLst/>
                    </a:prstGeom>
                    <a:noFill/>
                    <a:ln>
                      <a:noFill/>
                    </a:ln>
                  </pic:spPr>
                </pic:pic>
              </a:graphicData>
            </a:graphic>
          </wp:inline>
        </w:drawing>
      </w:r>
    </w:p>
    <w:p w14:paraId="79A2AD42" w14:textId="0211BC05" w:rsidR="00B20ED5" w:rsidRPr="009D5E35" w:rsidRDefault="00B20ED5" w:rsidP="00FB1B91">
      <w:pPr>
        <w:pStyle w:val="body"/>
      </w:pPr>
      <w:r w:rsidRPr="009D5E35">
        <w:t>where:</w:t>
      </w:r>
    </w:p>
    <w:p w14:paraId="70DDBD67" w14:textId="6727B00D" w:rsidR="00B20ED5" w:rsidRPr="00A35857" w:rsidRDefault="00B20ED5" w:rsidP="004951F0">
      <w:pPr>
        <w:pStyle w:val="body"/>
        <w:ind w:left="709"/>
      </w:pPr>
      <w:proofErr w:type="spellStart"/>
      <w:r w:rsidRPr="00A35857">
        <w:t>T</w:t>
      </w:r>
      <w:r w:rsidR="00B06763" w:rsidRPr="00A35857">
        <w:rPr>
          <w:vertAlign w:val="subscript"/>
        </w:rPr>
        <w:t>ij</w:t>
      </w:r>
      <w:proofErr w:type="spellEnd"/>
      <w:r w:rsidR="004951F0" w:rsidRPr="00A35857">
        <w:tab/>
        <w:t xml:space="preserve"> </w:t>
      </w:r>
      <w:r w:rsidRPr="00A35857">
        <w:t>–</w:t>
      </w:r>
      <w:r w:rsidR="00443F8C" w:rsidRPr="00A35857">
        <w:t xml:space="preserve"> </w:t>
      </w:r>
      <w:r w:rsidRPr="00A35857">
        <w:t xml:space="preserve">interaction between </w:t>
      </w:r>
      <w:proofErr w:type="spellStart"/>
      <w:r w:rsidRPr="00A35857">
        <w:t>i</w:t>
      </w:r>
      <w:proofErr w:type="spellEnd"/>
      <w:r w:rsidRPr="00A35857">
        <w:t xml:space="preserve"> and j, defined as the number of commuters</w:t>
      </w:r>
      <w:r w:rsidR="00991622" w:rsidRPr="00A35857">
        <w:t xml:space="preserve"> </w:t>
      </w:r>
      <w:r w:rsidRPr="00A35857">
        <w:t xml:space="preserve">from residential region </w:t>
      </w:r>
      <w:proofErr w:type="spellStart"/>
      <w:r w:rsidRPr="00A35857">
        <w:t>i</w:t>
      </w:r>
      <w:proofErr w:type="spellEnd"/>
      <w:r w:rsidRPr="00A35857">
        <w:t xml:space="preserve"> to work region j</w:t>
      </w:r>
    </w:p>
    <w:p w14:paraId="05B7FF26" w14:textId="7899D43C" w:rsidR="00B20ED5" w:rsidRPr="00A35857" w:rsidRDefault="00B20ED5" w:rsidP="00D80B37">
      <w:pPr>
        <w:pStyle w:val="body"/>
        <w:ind w:left="709"/>
      </w:pPr>
      <w:r w:rsidRPr="00A35857">
        <w:t>q</w:t>
      </w:r>
      <w:r w:rsidRPr="00A35857">
        <w:tab/>
        <w:t>–</w:t>
      </w:r>
      <w:r w:rsidR="00991622" w:rsidRPr="00A35857">
        <w:t xml:space="preserve"> </w:t>
      </w:r>
      <w:r w:rsidRPr="00A35857">
        <w:t>constant</w:t>
      </w:r>
      <w:r w:rsidR="00D80B37" w:rsidRPr="00A35857">
        <w:t xml:space="preserve"> value</w:t>
      </w:r>
    </w:p>
    <w:p w14:paraId="7EC4097A" w14:textId="4070091E" w:rsidR="00B20ED5" w:rsidRPr="00A35857" w:rsidRDefault="00B20ED5" w:rsidP="00991622">
      <w:pPr>
        <w:pStyle w:val="body"/>
        <w:ind w:left="709"/>
      </w:pPr>
      <w:proofErr w:type="spellStart"/>
      <w:r w:rsidRPr="00A35857">
        <w:t>E</w:t>
      </w:r>
      <w:r w:rsidRPr="00A35857">
        <w:rPr>
          <w:vertAlign w:val="subscript"/>
        </w:rPr>
        <w:t>i</w:t>
      </w:r>
      <w:proofErr w:type="spellEnd"/>
      <w:r w:rsidRPr="00A35857">
        <w:rPr>
          <w:vertAlign w:val="subscript"/>
        </w:rPr>
        <w:tab/>
      </w:r>
      <w:r w:rsidRPr="00A35857">
        <w:t>–</w:t>
      </w:r>
      <w:r w:rsidR="00443F8C" w:rsidRPr="00A35857">
        <w:t xml:space="preserve"> </w:t>
      </w:r>
      <w:r w:rsidRPr="00A35857">
        <w:t xml:space="preserve">number of workers who are residents of region </w:t>
      </w:r>
      <w:proofErr w:type="spellStart"/>
      <w:r w:rsidRPr="00A35857">
        <w:t>i</w:t>
      </w:r>
      <w:proofErr w:type="spellEnd"/>
    </w:p>
    <w:p w14:paraId="41AC81C2" w14:textId="251A9F8A" w:rsidR="00B20ED5" w:rsidRPr="00A35857" w:rsidRDefault="00B20ED5" w:rsidP="00991622">
      <w:pPr>
        <w:pStyle w:val="body"/>
        <w:ind w:left="709"/>
      </w:pPr>
      <w:proofErr w:type="spellStart"/>
      <w:r w:rsidRPr="00A35857">
        <w:t>M</w:t>
      </w:r>
      <w:r w:rsidR="00991622" w:rsidRPr="00A35857">
        <w:rPr>
          <w:vertAlign w:val="subscript"/>
        </w:rPr>
        <w:t>j</w:t>
      </w:r>
      <w:proofErr w:type="spellEnd"/>
      <w:r w:rsidR="00991622" w:rsidRPr="00A35857">
        <w:rPr>
          <w:vertAlign w:val="subscript"/>
        </w:rPr>
        <w:t xml:space="preserve"> </w:t>
      </w:r>
      <w:r w:rsidR="00991622" w:rsidRPr="00A35857">
        <w:tab/>
      </w:r>
      <w:r w:rsidRPr="00A35857">
        <w:t>–</w:t>
      </w:r>
      <w:r w:rsidR="00443F8C" w:rsidRPr="00A35857">
        <w:t xml:space="preserve"> </w:t>
      </w:r>
      <w:r w:rsidRPr="00A35857">
        <w:t>number of workplaces in region j</w:t>
      </w:r>
    </w:p>
    <w:p w14:paraId="11FAD3CF" w14:textId="203FBD60" w:rsidR="00B20ED5" w:rsidRPr="00A35857" w:rsidRDefault="009955A2" w:rsidP="00991622">
      <w:pPr>
        <w:pStyle w:val="body"/>
        <w:ind w:left="2268" w:hanging="1559"/>
      </w:pPr>
      <w:r>
        <w:rPr>
          <w:noProof/>
          <w:position w:val="-14"/>
        </w:rPr>
        <w:drawing>
          <wp:inline distT="0" distB="0" distL="0" distR="0" wp14:anchorId="3E52EC21" wp14:editId="0E397480">
            <wp:extent cx="787400" cy="254000"/>
            <wp:effectExtent l="0" t="0" r="0" b="0"/>
            <wp:docPr id="6" name="Picture 6" descr="Trip distance function from region i to region j is equal to the distance in power minus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p distance function from region i to region j is equal to the distance in power minus thet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7400" cy="254000"/>
                    </a:xfrm>
                    <a:prstGeom prst="rect">
                      <a:avLst/>
                    </a:prstGeom>
                    <a:noFill/>
                    <a:ln>
                      <a:noFill/>
                    </a:ln>
                  </pic:spPr>
                </pic:pic>
              </a:graphicData>
            </a:graphic>
          </wp:inline>
        </w:drawing>
      </w:r>
      <w:r w:rsidR="00991622" w:rsidRPr="00A35857">
        <w:t xml:space="preserve"> </w:t>
      </w:r>
      <w:r w:rsidR="007B14EF" w:rsidRPr="00A35857">
        <w:t>–</w:t>
      </w:r>
      <w:r w:rsidR="00991622" w:rsidRPr="00A35857">
        <w:t xml:space="preserve"> </w:t>
      </w:r>
      <w:r w:rsidR="007B14EF" w:rsidRPr="00A35857">
        <w:t>travel impedance function (trip distance</w:t>
      </w:r>
      <w:r w:rsidR="009D72D6" w:rsidRPr="00A35857">
        <w:t xml:space="preserve"> function</w:t>
      </w:r>
      <w:r w:rsidR="007B14EF" w:rsidRPr="00A35857">
        <w:t xml:space="preserve">) from region </w:t>
      </w:r>
      <w:proofErr w:type="spellStart"/>
      <w:r w:rsidR="007B14EF" w:rsidRPr="00A35857">
        <w:t>i</w:t>
      </w:r>
      <w:proofErr w:type="spellEnd"/>
      <w:r w:rsidR="00991622" w:rsidRPr="00A35857">
        <w:t xml:space="preserve"> </w:t>
      </w:r>
      <w:r w:rsidR="007B14EF" w:rsidRPr="00A35857">
        <w:t>to region j</w:t>
      </w:r>
    </w:p>
    <w:p w14:paraId="5E9C67FE" w14:textId="5C5C7648" w:rsidR="009615A2" w:rsidRPr="00A35857" w:rsidRDefault="007B14EF" w:rsidP="008A5C33">
      <w:pPr>
        <w:pStyle w:val="body"/>
        <w:spacing w:after="0"/>
      </w:pPr>
      <w:r w:rsidRPr="00A35857">
        <w:t xml:space="preserve">If </w:t>
      </w:r>
      <w:proofErr w:type="spellStart"/>
      <w:proofErr w:type="gramStart"/>
      <w:r w:rsidRPr="00A35857">
        <w:t>T</w:t>
      </w:r>
      <w:r w:rsidRPr="00A35857">
        <w:rPr>
          <w:vertAlign w:val="subscript"/>
        </w:rPr>
        <w:t>ij</w:t>
      </w:r>
      <w:proofErr w:type="spellEnd"/>
      <w:r w:rsidRPr="00A35857">
        <w:rPr>
          <w:vertAlign w:val="subscript"/>
        </w:rPr>
        <w:t xml:space="preserve"> </w:t>
      </w:r>
      <w:r w:rsidRPr="00A35857">
        <w:t>,</w:t>
      </w:r>
      <w:proofErr w:type="gramEnd"/>
      <w:r w:rsidRPr="00A35857">
        <w:t xml:space="preserve"> </w:t>
      </w:r>
      <w:proofErr w:type="spellStart"/>
      <w:r w:rsidRPr="00A35857">
        <w:t>E</w:t>
      </w:r>
      <w:r w:rsidRPr="00A35857">
        <w:rPr>
          <w:vertAlign w:val="subscript"/>
        </w:rPr>
        <w:t>i</w:t>
      </w:r>
      <w:proofErr w:type="spellEnd"/>
      <w:r w:rsidRPr="00A35857">
        <w:rPr>
          <w:vertAlign w:val="subscript"/>
        </w:rPr>
        <w:t xml:space="preserve"> </w:t>
      </w:r>
      <w:r w:rsidRPr="00A35857">
        <w:t xml:space="preserve">, </w:t>
      </w:r>
      <w:proofErr w:type="spellStart"/>
      <w:r w:rsidRPr="00A35857">
        <w:t>M</w:t>
      </w:r>
      <w:r w:rsidRPr="00A35857">
        <w:rPr>
          <w:vertAlign w:val="subscript"/>
        </w:rPr>
        <w:t>j</w:t>
      </w:r>
      <w:proofErr w:type="spellEnd"/>
      <w:r w:rsidRPr="00A35857">
        <w:rPr>
          <w:vertAlign w:val="subscript"/>
        </w:rPr>
        <w:t xml:space="preserve"> </w:t>
      </w:r>
      <w:r w:rsidRPr="00A35857">
        <w:t xml:space="preserve">, and </w:t>
      </w:r>
      <w:proofErr w:type="spellStart"/>
      <w:r w:rsidRPr="00A35857">
        <w:t>d</w:t>
      </w:r>
      <w:r w:rsidRPr="00A35857">
        <w:rPr>
          <w:vertAlign w:val="subscript"/>
        </w:rPr>
        <w:t>ij</w:t>
      </w:r>
      <w:proofErr w:type="spellEnd"/>
      <w:r w:rsidRPr="00A35857">
        <w:rPr>
          <w:vertAlign w:val="subscript"/>
        </w:rPr>
        <w:t xml:space="preserve"> </w:t>
      </w:r>
      <w:r w:rsidRPr="00A35857">
        <w:t>are known,</w:t>
      </w:r>
      <w:r w:rsidR="009615A2" w:rsidRPr="00A35857">
        <w:t xml:space="preserve"> one can estimate θ as the </w:t>
      </w:r>
      <w:r w:rsidR="009D72D6" w:rsidRPr="00A35857">
        <w:t xml:space="preserve">slope </w:t>
      </w:r>
      <w:r w:rsidR="009615A2" w:rsidRPr="00A35857">
        <w:t>coefficient in the regression model that is obtained by m</w:t>
      </w:r>
      <w:r w:rsidR="00F41DA0" w:rsidRPr="00A35857">
        <w:t>eans of a logarithmic transform</w:t>
      </w:r>
      <w:r w:rsidR="009615A2" w:rsidRPr="00A35857">
        <w:t xml:space="preserve">ation of (2): </w:t>
      </w:r>
      <w:r w:rsidR="009955A2">
        <w:rPr>
          <w:noProof/>
          <w:position w:val="-12"/>
        </w:rPr>
        <w:drawing>
          <wp:inline distT="0" distB="0" distL="0" distR="0" wp14:anchorId="527CFE89" wp14:editId="203DAE6E">
            <wp:extent cx="774700" cy="222250"/>
            <wp:effectExtent l="0" t="0" r="6350" b="6350"/>
            <wp:docPr id="7" name="Picture 7" descr="The value of explained variable Y at observation k is approximately equal to alpha minus theta multiplied by the value of explanation variable X at observation 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value of explained variable Y at observation k is approximately equal to alpha minus theta multiplied by the value of explanation variable X at observation k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4700" cy="222250"/>
                    </a:xfrm>
                    <a:prstGeom prst="rect">
                      <a:avLst/>
                    </a:prstGeom>
                    <a:noFill/>
                    <a:ln>
                      <a:noFill/>
                    </a:ln>
                  </pic:spPr>
                </pic:pic>
              </a:graphicData>
            </a:graphic>
          </wp:inline>
        </w:drawing>
      </w:r>
    </w:p>
    <w:p w14:paraId="314E532A" w14:textId="23356026" w:rsidR="00991622" w:rsidRDefault="008A5C33" w:rsidP="00B71AB5">
      <w:pPr>
        <w:pStyle w:val="body"/>
        <w:spacing w:after="0"/>
      </w:pPr>
      <w:r>
        <w:t xml:space="preserve">where: </w:t>
      </w:r>
      <w:r w:rsidR="009955A2">
        <w:rPr>
          <w:noProof/>
          <w:position w:val="-14"/>
        </w:rPr>
        <w:drawing>
          <wp:inline distT="0" distB="0" distL="0" distR="0" wp14:anchorId="019C9927" wp14:editId="6FAC286F">
            <wp:extent cx="635000" cy="234950"/>
            <wp:effectExtent l="0" t="0" r="0" b="0"/>
            <wp:docPr id="8" name="Picture 8" descr="The value of explanation variable X at observation k is equal to the logarithm of distance from i to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value of explanation variable X at observation k is equal to the logarithm of distance from i to j"/>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000" cy="234950"/>
                    </a:xfrm>
                    <a:prstGeom prst="rect">
                      <a:avLst/>
                    </a:prstGeom>
                    <a:noFill/>
                    <a:ln>
                      <a:noFill/>
                    </a:ln>
                  </pic:spPr>
                </pic:pic>
              </a:graphicData>
            </a:graphic>
          </wp:inline>
        </w:drawing>
      </w:r>
      <w:r>
        <w:t>,</w:t>
      </w:r>
      <w:r w:rsidR="00991622">
        <w:t xml:space="preserve"> </w:t>
      </w:r>
      <w:r w:rsidR="009955A2">
        <w:rPr>
          <w:noProof/>
          <w:position w:val="-10"/>
        </w:rPr>
        <w:drawing>
          <wp:inline distT="0" distB="0" distL="0" distR="0" wp14:anchorId="3A981E2A" wp14:editId="78CA0F97">
            <wp:extent cx="508000" cy="203200"/>
            <wp:effectExtent l="0" t="0" r="6350" b="6350"/>
            <wp:docPr id="9" name="Picture 9" descr="Alpha is equal to the logarithm of constant value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pha is equal to the logarithm of constant value q"/>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8000" cy="203200"/>
                    </a:xfrm>
                    <a:prstGeom prst="rect">
                      <a:avLst/>
                    </a:prstGeom>
                    <a:noFill/>
                    <a:ln>
                      <a:noFill/>
                    </a:ln>
                  </pic:spPr>
                </pic:pic>
              </a:graphicData>
            </a:graphic>
          </wp:inline>
        </w:drawing>
      </w:r>
      <w:r>
        <w:t xml:space="preserve">, </w:t>
      </w:r>
      <w:r w:rsidR="009955A2">
        <w:rPr>
          <w:noProof/>
          <w:position w:val="-14"/>
        </w:rPr>
        <w:drawing>
          <wp:inline distT="0" distB="0" distL="0" distR="0" wp14:anchorId="7AC507FE" wp14:editId="73D08A17">
            <wp:extent cx="1168400" cy="234950"/>
            <wp:effectExtent l="0" t="0" r="0" b="0"/>
            <wp:docPr id="10" name="Picture 10" descr="The value of explained variable Y at observation k is equal to the logarithm of ratio of the number of commuters from i to j to the product of the number of workers who are residents of i and the number of workplaces in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value of explained variable Y at observation k is equal to the logarithm of ratio of the number of commuters from i to j to the product of the number of workers who are residents of i and the number of workplaces in j"/>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8400" cy="234950"/>
                    </a:xfrm>
                    <a:prstGeom prst="rect">
                      <a:avLst/>
                    </a:prstGeom>
                    <a:noFill/>
                    <a:ln>
                      <a:noFill/>
                    </a:ln>
                  </pic:spPr>
                </pic:pic>
              </a:graphicData>
            </a:graphic>
          </wp:inline>
        </w:drawing>
      </w:r>
      <w:r>
        <w:t>,</w:t>
      </w:r>
      <w:r w:rsidR="00991622">
        <w:t xml:space="preserve"> </w:t>
      </w:r>
      <w:r w:rsidR="009955A2">
        <w:rPr>
          <w:noProof/>
          <w:position w:val="-6"/>
        </w:rPr>
        <w:drawing>
          <wp:inline distT="0" distB="0" distL="0" distR="0" wp14:anchorId="224E8713" wp14:editId="39A09AFA">
            <wp:extent cx="533400" cy="184150"/>
            <wp:effectExtent l="0" t="0" r="0" b="6350"/>
            <wp:docPr id="11" name="Picture 11" descr="i ranges from 1 to capital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 ranges from 1 to capital I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184150"/>
                    </a:xfrm>
                    <a:prstGeom prst="rect">
                      <a:avLst/>
                    </a:prstGeom>
                    <a:noFill/>
                    <a:ln>
                      <a:noFill/>
                    </a:ln>
                  </pic:spPr>
                </pic:pic>
              </a:graphicData>
            </a:graphic>
          </wp:inline>
        </w:drawing>
      </w:r>
      <w:r>
        <w:t xml:space="preserve">, </w:t>
      </w:r>
      <w:r w:rsidR="009955A2">
        <w:rPr>
          <w:noProof/>
          <w:position w:val="-10"/>
        </w:rPr>
        <w:drawing>
          <wp:inline distT="0" distB="0" distL="0" distR="0" wp14:anchorId="61662FB3" wp14:editId="2840DFCA">
            <wp:extent cx="577850" cy="203200"/>
            <wp:effectExtent l="0" t="0" r="0" b="6350"/>
            <wp:docPr id="12" name="Picture 12" descr="j ranges from 1 to capital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 ranges from 1 to capital J"/>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7850" cy="203200"/>
                    </a:xfrm>
                    <a:prstGeom prst="rect">
                      <a:avLst/>
                    </a:prstGeom>
                    <a:noFill/>
                    <a:ln>
                      <a:noFill/>
                    </a:ln>
                  </pic:spPr>
                </pic:pic>
              </a:graphicData>
            </a:graphic>
          </wp:inline>
        </w:drawing>
      </w:r>
      <w:r>
        <w:t xml:space="preserve">, </w:t>
      </w:r>
      <w:r w:rsidR="009955A2">
        <w:rPr>
          <w:noProof/>
          <w:position w:val="-6"/>
        </w:rPr>
        <w:drawing>
          <wp:inline distT="0" distB="0" distL="0" distR="0" wp14:anchorId="5BD6023A" wp14:editId="3C204D9A">
            <wp:extent cx="774700" cy="184150"/>
            <wp:effectExtent l="0" t="0" r="6350" b="6350"/>
            <wp:docPr id="13" name="Picture 13" descr="k ranges from 1 to capital I times capital 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 ranges from 1 to capital I times capital J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4700" cy="184150"/>
                    </a:xfrm>
                    <a:prstGeom prst="rect">
                      <a:avLst/>
                    </a:prstGeom>
                    <a:noFill/>
                    <a:ln>
                      <a:noFill/>
                    </a:ln>
                  </pic:spPr>
                </pic:pic>
              </a:graphicData>
            </a:graphic>
          </wp:inline>
        </w:drawing>
      </w:r>
      <w:r w:rsidR="00991622">
        <w:t xml:space="preserve"> </w:t>
      </w:r>
    </w:p>
    <w:p w14:paraId="24D94E92" w14:textId="71747D38" w:rsidR="002D7714" w:rsidRPr="009D5E35" w:rsidRDefault="002D7714" w:rsidP="00DE2A44">
      <w:pPr>
        <w:pStyle w:val="body"/>
      </w:pPr>
      <w:r w:rsidRPr="009D5E35">
        <w:t xml:space="preserve">and </w:t>
      </w:r>
      <w:r w:rsidRPr="00732A5D">
        <w:t xml:space="preserve">the set of </w:t>
      </w:r>
      <w:r w:rsidR="00732A5D" w:rsidRPr="00732A5D">
        <w:t>work regions J</w:t>
      </w:r>
      <w:r w:rsidR="001602AB" w:rsidRPr="00732A5D">
        <w:t xml:space="preserve"> to which the workers travel </w:t>
      </w:r>
      <w:r w:rsidR="00732A5D">
        <w:t>is different for the different</w:t>
      </w:r>
      <w:r w:rsidR="001602AB" w:rsidRPr="00732A5D">
        <w:t xml:space="preserve"> residential regions</w:t>
      </w:r>
      <w:r w:rsidR="001602AB" w:rsidRPr="009D5E35">
        <w:t>.</w:t>
      </w:r>
    </w:p>
    <w:p w14:paraId="3FA8087D" w14:textId="1CF4CA2D" w:rsidR="00F972CA" w:rsidRPr="004C7307" w:rsidRDefault="001602AB" w:rsidP="00D83E24">
      <w:pPr>
        <w:pStyle w:val="body"/>
      </w:pPr>
      <w:r w:rsidRPr="004C7307">
        <w:lastRenderedPageBreak/>
        <w:t xml:space="preserve">The calculation of the </w:t>
      </w:r>
      <w:r w:rsidR="00D31603" w:rsidRPr="004C7307">
        <w:t>Peripherality Index 2004</w:t>
      </w:r>
      <w:r w:rsidRPr="004C7307">
        <w:t xml:space="preserve"> yielded the value θ</w:t>
      </w:r>
      <w:r w:rsidR="00DD1241" w:rsidRPr="004C7307">
        <w:t xml:space="preserve"> </w:t>
      </w:r>
      <w:r w:rsidR="00D83E24" w:rsidRPr="004C7307">
        <w:t>equal to</w:t>
      </w:r>
      <w:r w:rsidR="00DD1241" w:rsidRPr="004C7307">
        <w:t xml:space="preserve"> 1.19, based on commuting data from the </w:t>
      </w:r>
      <w:r w:rsidR="00F972CA" w:rsidRPr="004C7307">
        <w:t>Travelling Habits Survey</w:t>
      </w:r>
      <w:r w:rsidR="00DA2979" w:rsidRPr="004C7307">
        <w:t xml:space="preserve"> </w:t>
      </w:r>
      <w:r w:rsidR="00443F8C" w:rsidRPr="004C7307">
        <w:t xml:space="preserve">1996/97 </w:t>
      </w:r>
      <w:r w:rsidR="00DA2979" w:rsidRPr="004C7307">
        <w:t>(Central Bureau of Statistics, 2001; Tsibel, 2009)</w:t>
      </w:r>
      <w:r w:rsidR="00F972CA" w:rsidRPr="004C7307">
        <w:t>.</w:t>
      </w:r>
    </w:p>
    <w:p w14:paraId="2C5A67E5" w14:textId="75FCEB7F" w:rsidR="00B441F7" w:rsidRDefault="00F972CA" w:rsidP="00F566F1">
      <w:pPr>
        <w:pStyle w:val="body"/>
      </w:pPr>
      <w:r w:rsidRPr="009D5E35">
        <w:t xml:space="preserve">In the calculation of the </w:t>
      </w:r>
      <w:r w:rsidR="008466EB">
        <w:t>Peripherality Index 2015</w:t>
      </w:r>
      <w:r w:rsidRPr="009D5E35">
        <w:t xml:space="preserve">, due to the lack of an up-to-date nationwide survey of travelling habits, </w:t>
      </w:r>
      <w:r w:rsidR="009D72D6">
        <w:t>an attempt was made to</w:t>
      </w:r>
      <w:r w:rsidRPr="009D5E35">
        <w:t xml:space="preserve"> revis</w:t>
      </w:r>
      <w:r w:rsidR="009D72D6">
        <w:t>e</w:t>
      </w:r>
      <w:r w:rsidRPr="009D5E35">
        <w:t xml:space="preserve"> the parameter </w:t>
      </w:r>
      <w:r w:rsidR="00443F8C">
        <w:t xml:space="preserve">using the </w:t>
      </w:r>
      <w:r w:rsidRPr="009D5E35">
        <w:t xml:space="preserve">data </w:t>
      </w:r>
      <w:r w:rsidR="009D72D6">
        <w:t>on places of work and residence</w:t>
      </w:r>
      <w:r w:rsidR="009D72D6" w:rsidRPr="009D5E35">
        <w:t xml:space="preserve"> </w:t>
      </w:r>
      <w:r w:rsidRPr="009D5E35">
        <w:t xml:space="preserve">obtained in the 2008 Population </w:t>
      </w:r>
      <w:r w:rsidRPr="00D85B20">
        <w:t xml:space="preserve">Census and </w:t>
      </w:r>
      <w:r w:rsidR="009D72D6" w:rsidRPr="00D85B20">
        <w:t>i</w:t>
      </w:r>
      <w:r w:rsidR="00443F8C" w:rsidRPr="00D85B20">
        <w:t>n the</w:t>
      </w:r>
      <w:r w:rsidR="009D72D6" w:rsidRPr="00D85B20">
        <w:t xml:space="preserve"> 2014–2016 </w:t>
      </w:r>
      <w:r w:rsidRPr="00D85B20">
        <w:t>Labour Force Surveys. However, use of</w:t>
      </w:r>
      <w:r w:rsidRPr="009D5E35">
        <w:t xml:space="preserve"> these data did not yield a reliable and unambiguous statistical estimator, </w:t>
      </w:r>
      <w:r w:rsidR="00443F8C">
        <w:t xml:space="preserve">and </w:t>
      </w:r>
      <w:r w:rsidRPr="009D5E35">
        <w:t>the value of the parameter was not changed.</w:t>
      </w:r>
    </w:p>
    <w:p w14:paraId="235096C8" w14:textId="02E36E76" w:rsidR="00272142" w:rsidRPr="007D064C" w:rsidRDefault="00272142" w:rsidP="00272142">
      <w:pPr>
        <w:pStyle w:val="body"/>
        <w:rPr>
          <w:lang w:val="en-US"/>
        </w:rPr>
      </w:pPr>
      <w:r>
        <w:t xml:space="preserve">The same value was </w:t>
      </w:r>
      <w:r w:rsidR="007D3A21">
        <w:t>used</w:t>
      </w:r>
      <w:r>
        <w:t xml:space="preserve"> for the construction of the Peripherality Index 2020 presented in this publication.</w:t>
      </w:r>
    </w:p>
    <w:p w14:paraId="65B54148" w14:textId="77777777" w:rsidR="00B441F7" w:rsidRPr="009D5E35" w:rsidRDefault="00B441F7" w:rsidP="007D064C">
      <w:pPr>
        <w:pStyle w:val="1"/>
        <w:spacing w:before="360"/>
      </w:pPr>
      <w:bookmarkStart w:id="56" w:name="_Toc127808134"/>
      <w:bookmarkStart w:id="57" w:name="_Toc371431"/>
      <w:bookmarkStart w:id="58" w:name="_Toc149219677"/>
      <w:r w:rsidRPr="009D5E35">
        <w:t xml:space="preserve">Calculation of the </w:t>
      </w:r>
      <w:r w:rsidR="00A94A6E">
        <w:t>Peripherality Index</w:t>
      </w:r>
      <w:bookmarkEnd w:id="56"/>
      <w:bookmarkEnd w:id="57"/>
      <w:bookmarkEnd w:id="58"/>
    </w:p>
    <w:p w14:paraId="7596640F" w14:textId="06AD8E57" w:rsidR="00B441F7" w:rsidRPr="009D5E35" w:rsidRDefault="00B441F7" w:rsidP="00247795">
      <w:pPr>
        <w:pStyle w:val="body"/>
      </w:pPr>
      <w:r w:rsidRPr="009D5E35">
        <w:t>The index was calculated at the level of locality for the 1,21</w:t>
      </w:r>
      <w:r w:rsidR="00247795">
        <w:t>3</w:t>
      </w:r>
      <w:r w:rsidRPr="009D5E35">
        <w:t xml:space="preserve"> localities having municipal status at the end of 20</w:t>
      </w:r>
      <w:r w:rsidR="00247795">
        <w:t>20</w:t>
      </w:r>
      <w:r w:rsidRPr="009D5E35">
        <w:t>. These included 201 municipalities</w:t>
      </w:r>
      <w:r w:rsidR="001A4415" w:rsidRPr="009D5E35">
        <w:t xml:space="preserve"> and local councils and 1,0</w:t>
      </w:r>
      <w:r w:rsidR="00247795">
        <w:t>12</w:t>
      </w:r>
      <w:r w:rsidR="001A4415" w:rsidRPr="009D5E35">
        <w:t xml:space="preserve"> localities within 54 regional councils. The index was also calculated at the level of the 25</w:t>
      </w:r>
      <w:r w:rsidR="00247795">
        <w:t>5</w:t>
      </w:r>
      <w:r w:rsidR="001A4415" w:rsidRPr="009D5E35">
        <w:t xml:space="preserve"> local authorities.</w:t>
      </w:r>
    </w:p>
    <w:p w14:paraId="25898BC9" w14:textId="4B3A4272" w:rsidR="008D267C" w:rsidRPr="005E7A73" w:rsidRDefault="001A4415" w:rsidP="005E7A73">
      <w:pPr>
        <w:pStyle w:val="body"/>
      </w:pPr>
      <w:r w:rsidRPr="009D5E35">
        <w:t xml:space="preserve">The value of the </w:t>
      </w:r>
      <w:r w:rsidR="008466EB">
        <w:t>Peripherality Index 20</w:t>
      </w:r>
      <w:r w:rsidR="00247795">
        <w:t>20</w:t>
      </w:r>
      <w:r w:rsidRPr="009D5E35">
        <w:t xml:space="preserve"> was calculated as a weighted total of two components: the potential accessibility index and proximity to the </w:t>
      </w:r>
      <w:r w:rsidR="00FA02A6" w:rsidRPr="009D5E35">
        <w:t>boundary</w:t>
      </w:r>
      <w:r w:rsidR="005E7A73">
        <w:t xml:space="preserve"> of the Tel Aviv District.</w:t>
      </w:r>
    </w:p>
    <w:p w14:paraId="12991738" w14:textId="77777777" w:rsidR="001A4415" w:rsidRPr="009D5E35" w:rsidRDefault="001A4415" w:rsidP="0008683D">
      <w:pPr>
        <w:pStyle w:val="2"/>
        <w:numPr>
          <w:ilvl w:val="0"/>
          <w:numId w:val="21"/>
        </w:numPr>
        <w:spacing w:after="240"/>
        <w:ind w:left="357" w:hanging="357"/>
      </w:pPr>
      <w:bookmarkStart w:id="59" w:name="_Toc127808135"/>
      <w:bookmarkStart w:id="60" w:name="_Toc371432"/>
      <w:bookmarkStart w:id="61" w:name="_Toc149219678"/>
      <w:r w:rsidRPr="00D85B20">
        <w:t>Calculation</w:t>
      </w:r>
      <w:r w:rsidRPr="009D5E35">
        <w:t xml:space="preserve"> of the Index for Localities</w:t>
      </w:r>
      <w:bookmarkEnd w:id="59"/>
      <w:bookmarkEnd w:id="60"/>
      <w:bookmarkEnd w:id="61"/>
    </w:p>
    <w:p w14:paraId="161C845B" w14:textId="77777777" w:rsidR="001A4415" w:rsidRPr="009D5E35" w:rsidRDefault="001A4415" w:rsidP="00230FB8">
      <w:pPr>
        <w:pStyle w:val="3"/>
        <w:numPr>
          <w:ilvl w:val="0"/>
          <w:numId w:val="25"/>
        </w:numPr>
        <w:ind w:left="357" w:hanging="357"/>
      </w:pPr>
      <w:bookmarkStart w:id="62" w:name="_Toc127808136"/>
      <w:bookmarkStart w:id="63" w:name="_Toc371433"/>
      <w:bookmarkStart w:id="64" w:name="_Toc149219679"/>
      <w:r w:rsidRPr="009D5E35">
        <w:t xml:space="preserve">Value of the Potential </w:t>
      </w:r>
      <w:r w:rsidRPr="00D85B20">
        <w:t>Accessibility</w:t>
      </w:r>
      <w:r w:rsidRPr="009D5E35">
        <w:t xml:space="preserve"> Index</w:t>
      </w:r>
      <w:bookmarkEnd w:id="62"/>
      <w:bookmarkEnd w:id="63"/>
      <w:bookmarkEnd w:id="64"/>
    </w:p>
    <w:p w14:paraId="5F0E55B2" w14:textId="77777777" w:rsidR="001A4415" w:rsidRPr="009D5E35" w:rsidRDefault="00BA0200" w:rsidP="00DE2A44">
      <w:pPr>
        <w:pStyle w:val="body"/>
      </w:pPr>
      <w:r w:rsidRPr="009D5E35">
        <w:t xml:space="preserve">The construction of the formula for the potential accessibility index is described in Chapter </w:t>
      </w:r>
      <w:r w:rsidR="00A24F92">
        <w:t>C</w:t>
      </w:r>
      <w:r w:rsidRPr="009D5E35">
        <w:t>.</w:t>
      </w:r>
    </w:p>
    <w:p w14:paraId="43FA882C" w14:textId="438AEE17" w:rsidR="00BA0200" w:rsidRPr="009D5E35" w:rsidRDefault="00717B74" w:rsidP="00DE2A44">
      <w:pPr>
        <w:pStyle w:val="body"/>
      </w:pPr>
      <w:r w:rsidRPr="009D5E35">
        <w:t>The value of the potential accessibility index for given locality i</w:t>
      </w:r>
      <w:r w:rsidR="00362676" w:rsidRPr="009D5E35">
        <w:t>s calculated as the sum of the potentials of the populations of all 1,21</w:t>
      </w:r>
      <w:r w:rsidR="00DB5187">
        <w:t>3</w:t>
      </w:r>
      <w:r w:rsidR="00362676" w:rsidRPr="009D5E35">
        <w:t xml:space="preserve"> localities. The potential of the population of the locality (</w:t>
      </w:r>
      <w:r w:rsidR="004D2B96">
        <w:t>relative</w:t>
      </w:r>
      <w:r w:rsidR="00362676" w:rsidRPr="009D5E35">
        <w:t xml:space="preserve"> to the given locality) reflects the influence of the distant population and is calculated as the size of the population divided by the function </w:t>
      </w:r>
      <w:r w:rsidR="004D2B96">
        <w:t xml:space="preserve">of the </w:t>
      </w:r>
      <w:r w:rsidR="00362676" w:rsidRPr="009D5E35">
        <w:t>distance to that locality from the given locality.</w:t>
      </w:r>
    </w:p>
    <w:p w14:paraId="2205667E" w14:textId="77777777" w:rsidR="00362676" w:rsidRPr="00551FFD" w:rsidRDefault="002140D9" w:rsidP="00274FFF">
      <w:pPr>
        <w:pStyle w:val="a3"/>
        <w:numPr>
          <w:ilvl w:val="0"/>
          <w:numId w:val="32"/>
        </w:numPr>
        <w:tabs>
          <w:tab w:val="left" w:pos="848"/>
        </w:tabs>
        <w:spacing w:after="0" w:line="360" w:lineRule="auto"/>
        <w:ind w:left="2552" w:hanging="2552"/>
        <w:rPr>
          <w:rFonts w:ascii="Arial" w:hAnsi="Arial" w:cs="Arial"/>
          <w:sz w:val="24"/>
          <w:szCs w:val="24"/>
        </w:rPr>
      </w:pPr>
      <m:oMath>
        <m:sSub>
          <m:sSubPr>
            <m:ctrlPr>
              <w:rPr>
                <w:rFonts w:ascii="Cambria Math" w:hAnsi="Cambria Math" w:cs="Arial"/>
                <w:sz w:val="24"/>
                <w:szCs w:val="24"/>
              </w:rPr>
            </m:ctrlPr>
          </m:sSubPr>
          <m:e>
            <m:r>
              <m:rPr>
                <m:sty m:val="bi"/>
              </m:rPr>
              <w:rPr>
                <w:rFonts w:ascii="Cambria Math" w:hAnsi="Cambria Math" w:cs="Arial"/>
                <w:sz w:val="24"/>
                <w:szCs w:val="24"/>
              </w:rPr>
              <m:t>A</m:t>
            </m:r>
          </m:e>
          <m:sub>
            <m:r>
              <m:rPr>
                <m:sty m:val="bi"/>
              </m:rPr>
              <w:rPr>
                <w:rFonts w:ascii="Cambria Math" w:hAnsi="Cambria Math" w:cs="Arial"/>
                <w:sz w:val="24"/>
                <w:szCs w:val="24"/>
              </w:rPr>
              <m:t>i</m:t>
            </m:r>
          </m:sub>
        </m:sSub>
        <m:r>
          <m:rPr>
            <m:sty m:val="b"/>
          </m:rPr>
          <w:rPr>
            <w:rFonts w:ascii="Cambria Math" w:hAnsi="Cambria Math" w:cs="Arial"/>
            <w:sz w:val="24"/>
            <w:szCs w:val="24"/>
          </w:rPr>
          <m:t>=</m:t>
        </m:r>
        <m:nary>
          <m:naryPr>
            <m:chr m:val="∑"/>
            <m:limLoc m:val="undOvr"/>
            <m:ctrlPr>
              <w:rPr>
                <w:rFonts w:ascii="Cambria Math" w:hAnsi="Cambria Math" w:cs="Arial"/>
                <w:sz w:val="24"/>
                <w:szCs w:val="24"/>
              </w:rPr>
            </m:ctrlPr>
          </m:naryPr>
          <m:sub>
            <m:r>
              <m:rPr>
                <m:sty m:val="bi"/>
              </m:rPr>
              <w:rPr>
                <w:rFonts w:ascii="Cambria Math" w:hAnsi="Cambria Math" w:cs="Arial"/>
                <w:sz w:val="24"/>
                <w:szCs w:val="24"/>
              </w:rPr>
              <m:t>j=1</m:t>
            </m:r>
          </m:sub>
          <m:sup>
            <m:r>
              <m:rPr>
                <m:sty m:val="bi"/>
              </m:rPr>
              <w:rPr>
                <w:rFonts w:ascii="Cambria Math" w:hAnsi="Cambria Math" w:cs="Arial"/>
                <w:sz w:val="24"/>
                <w:szCs w:val="24"/>
              </w:rPr>
              <m:t>1,213</m:t>
            </m:r>
          </m:sup>
          <m:e>
            <m:f>
              <m:fPr>
                <m:ctrlPr>
                  <w:rPr>
                    <w:rFonts w:ascii="Cambria Math" w:hAnsi="Cambria Math" w:cs="Arial"/>
                    <w:i/>
                    <w:sz w:val="24"/>
                    <w:szCs w:val="24"/>
                  </w:rPr>
                </m:ctrlPr>
              </m:fPr>
              <m:num>
                <m:sSub>
                  <m:sSubPr>
                    <m:ctrlPr>
                      <w:rPr>
                        <w:rFonts w:ascii="Cambria Math" w:hAnsi="Cambria Math" w:cs="Arial"/>
                        <w:i/>
                        <w:sz w:val="24"/>
                        <w:szCs w:val="24"/>
                      </w:rPr>
                    </m:ctrlPr>
                  </m:sSubPr>
                  <m:e>
                    <m:r>
                      <m:rPr>
                        <m:sty m:val="bi"/>
                      </m:rPr>
                      <w:rPr>
                        <w:rFonts w:ascii="Cambria Math" w:hAnsi="Cambria Math" w:cs="Arial"/>
                        <w:sz w:val="24"/>
                        <w:szCs w:val="24"/>
                      </w:rPr>
                      <m:t>P</m:t>
                    </m:r>
                  </m:e>
                  <m:sub>
                    <m:r>
                      <m:rPr>
                        <m:sty m:val="bi"/>
                      </m:rPr>
                      <w:rPr>
                        <w:rFonts w:ascii="Cambria Math" w:hAnsi="Cambria Math" w:cs="Arial"/>
                        <w:sz w:val="24"/>
                        <w:szCs w:val="24"/>
                      </w:rPr>
                      <m:t>j</m:t>
                    </m:r>
                  </m:sub>
                </m:sSub>
              </m:num>
              <m:den>
                <m:sSubSup>
                  <m:sSubSupPr>
                    <m:ctrlPr>
                      <w:rPr>
                        <w:rFonts w:ascii="Cambria Math" w:hAnsi="Cambria Math" w:cs="Arial"/>
                        <w:i/>
                        <w:sz w:val="24"/>
                        <w:szCs w:val="24"/>
                      </w:rPr>
                    </m:ctrlPr>
                  </m:sSubSupPr>
                  <m:e>
                    <m:r>
                      <m:rPr>
                        <m:sty m:val="bi"/>
                      </m:rPr>
                      <w:rPr>
                        <w:rFonts w:ascii="Cambria Math" w:hAnsi="Cambria Math" w:cs="Arial"/>
                        <w:sz w:val="24"/>
                        <w:szCs w:val="24"/>
                      </w:rPr>
                      <m:t>d</m:t>
                    </m:r>
                  </m:e>
                  <m:sub>
                    <m:r>
                      <m:rPr>
                        <m:sty m:val="bi"/>
                      </m:rPr>
                      <w:rPr>
                        <w:rFonts w:ascii="Cambria Math" w:hAnsi="Cambria Math" w:cs="Arial"/>
                        <w:sz w:val="24"/>
                        <w:szCs w:val="24"/>
                      </w:rPr>
                      <m:t>ij</m:t>
                    </m:r>
                  </m:sub>
                  <m:sup>
                    <m:r>
                      <m:rPr>
                        <m:sty m:val="bi"/>
                      </m:rPr>
                      <w:rPr>
                        <w:rFonts w:ascii="Cambria Math" w:hAnsi="Cambria Math" w:cs="Arial"/>
                        <w:sz w:val="24"/>
                        <w:szCs w:val="24"/>
                      </w:rPr>
                      <m:t>1.19</m:t>
                    </m:r>
                  </m:sup>
                </m:sSubSup>
              </m:den>
            </m:f>
          </m:e>
        </m:nary>
      </m:oMath>
    </w:p>
    <w:p w14:paraId="4439A19A" w14:textId="77777777" w:rsidR="00362676" w:rsidRPr="009D5E35" w:rsidRDefault="00362676" w:rsidP="007D064C">
      <w:pPr>
        <w:pStyle w:val="body"/>
        <w:spacing w:after="120"/>
      </w:pPr>
      <w:r w:rsidRPr="009D5E35">
        <w:t>where:</w:t>
      </w:r>
    </w:p>
    <w:p w14:paraId="71F962C4" w14:textId="35C360FE" w:rsidR="00362676" w:rsidRPr="004C7307" w:rsidRDefault="00362676" w:rsidP="007D064C">
      <w:pPr>
        <w:pStyle w:val="body"/>
        <w:spacing w:after="120"/>
        <w:ind w:left="709"/>
      </w:pPr>
      <w:r w:rsidRPr="004C7307">
        <w:t>A</w:t>
      </w:r>
      <w:r w:rsidRPr="004C7307">
        <w:rPr>
          <w:vertAlign w:val="subscript"/>
        </w:rPr>
        <w:t>i</w:t>
      </w:r>
      <w:r w:rsidRPr="004C7307">
        <w:rPr>
          <w:vertAlign w:val="subscript"/>
        </w:rPr>
        <w:tab/>
      </w:r>
      <w:r w:rsidRPr="004C7307">
        <w:t>–</w:t>
      </w:r>
      <w:r w:rsidR="004D2B96" w:rsidRPr="004C7307">
        <w:t xml:space="preserve"> </w:t>
      </w:r>
      <w:r w:rsidRPr="004C7307">
        <w:t xml:space="preserve">potential accessibility of locality </w:t>
      </w:r>
      <w:proofErr w:type="spellStart"/>
      <w:r w:rsidRPr="004C7307">
        <w:t>i</w:t>
      </w:r>
      <w:proofErr w:type="spellEnd"/>
    </w:p>
    <w:p w14:paraId="074EE088" w14:textId="236CD01C" w:rsidR="00362676" w:rsidRPr="004C7307" w:rsidRDefault="00362676" w:rsidP="007D064C">
      <w:pPr>
        <w:pStyle w:val="body"/>
        <w:spacing w:after="120"/>
        <w:ind w:left="709"/>
      </w:pPr>
      <w:proofErr w:type="spellStart"/>
      <w:r w:rsidRPr="004C7307">
        <w:t>P</w:t>
      </w:r>
      <w:r w:rsidRPr="004C7307">
        <w:rPr>
          <w:vertAlign w:val="subscript"/>
        </w:rPr>
        <w:t>j</w:t>
      </w:r>
      <w:proofErr w:type="spellEnd"/>
      <w:r w:rsidRPr="004C7307">
        <w:rPr>
          <w:vertAlign w:val="subscript"/>
        </w:rPr>
        <w:tab/>
      </w:r>
      <w:r w:rsidRPr="004C7307">
        <w:t>–</w:t>
      </w:r>
      <w:r w:rsidR="004D2B96" w:rsidRPr="004C7307">
        <w:t xml:space="preserve"> </w:t>
      </w:r>
      <w:r w:rsidRPr="004C7307">
        <w:t>population size of locality j</w:t>
      </w:r>
    </w:p>
    <w:p w14:paraId="78088776" w14:textId="6344B504" w:rsidR="00362676" w:rsidRPr="004C7307" w:rsidRDefault="00362676" w:rsidP="009B6EA5">
      <w:pPr>
        <w:pStyle w:val="body"/>
        <w:spacing w:after="160"/>
        <w:ind w:left="709"/>
        <w:rPr>
          <w:lang w:val="en-US"/>
        </w:rPr>
      </w:pPr>
      <w:proofErr w:type="spellStart"/>
      <w:r w:rsidRPr="004C7307">
        <w:t>d</w:t>
      </w:r>
      <w:r w:rsidRPr="004C7307">
        <w:rPr>
          <w:vertAlign w:val="subscript"/>
        </w:rPr>
        <w:t>ij</w:t>
      </w:r>
      <w:proofErr w:type="spellEnd"/>
      <w:r w:rsidRPr="004C7307">
        <w:rPr>
          <w:vertAlign w:val="subscript"/>
        </w:rPr>
        <w:tab/>
      </w:r>
      <w:r w:rsidRPr="004C7307">
        <w:t>–</w:t>
      </w:r>
      <w:r w:rsidR="004D2B96" w:rsidRPr="004C7307">
        <w:t xml:space="preserve"> </w:t>
      </w:r>
      <w:r w:rsidRPr="004C7307">
        <w:t xml:space="preserve">distance in </w:t>
      </w:r>
      <w:proofErr w:type="spellStart"/>
      <w:r w:rsidR="00CB7E63">
        <w:t>kilometer</w:t>
      </w:r>
      <w:r w:rsidR="00506FA0" w:rsidRPr="004C7307">
        <w:t>s</w:t>
      </w:r>
      <w:proofErr w:type="spellEnd"/>
      <w:r w:rsidRPr="004C7307">
        <w:t xml:space="preserve"> from locality </w:t>
      </w:r>
      <w:proofErr w:type="spellStart"/>
      <w:r w:rsidRPr="004C7307">
        <w:t>i</w:t>
      </w:r>
      <w:proofErr w:type="spellEnd"/>
      <w:r w:rsidRPr="004C7307">
        <w:t xml:space="preserve"> to locality </w:t>
      </w:r>
      <w:proofErr w:type="gramStart"/>
      <w:r w:rsidRPr="004C7307">
        <w:t>j</w:t>
      </w:r>
      <w:r w:rsidR="00C75BD0" w:rsidRPr="004C7307">
        <w:rPr>
          <w:lang w:val="en-US"/>
        </w:rPr>
        <w:t xml:space="preserve"> ,</w:t>
      </w:r>
      <w:proofErr w:type="gramEnd"/>
      <w:r w:rsidR="00C75BD0" w:rsidRPr="004C7307">
        <w:rPr>
          <w:lang w:val="en-US"/>
        </w:rPr>
        <w:t xml:space="preserve"> </w:t>
      </w:r>
      <w:r w:rsidR="009955A2">
        <w:rPr>
          <w:noProof/>
          <w:position w:val="-14"/>
          <w:lang w:val="en-US"/>
        </w:rPr>
        <w:drawing>
          <wp:inline distT="0" distB="0" distL="0" distR="0" wp14:anchorId="6F43F3AB" wp14:editId="1CE7E6BA">
            <wp:extent cx="501650" cy="234950"/>
            <wp:effectExtent l="0" t="0" r="0" b="0"/>
            <wp:docPr id="14" name="Picture 14" descr="Distance from locality i to locality j is greater or equal to the self-distance of locality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stance from locality i to locality j is greater or equal to the self-distance of locality i"/>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1650" cy="234950"/>
                    </a:xfrm>
                    <a:prstGeom prst="rect">
                      <a:avLst/>
                    </a:prstGeom>
                    <a:noFill/>
                    <a:ln>
                      <a:noFill/>
                    </a:ln>
                  </pic:spPr>
                </pic:pic>
              </a:graphicData>
            </a:graphic>
          </wp:inline>
        </w:drawing>
      </w:r>
    </w:p>
    <w:p w14:paraId="7A41B3B3" w14:textId="2B76B71D" w:rsidR="00362676" w:rsidRPr="004C7307" w:rsidRDefault="00362676" w:rsidP="007D064C">
      <w:pPr>
        <w:pStyle w:val="body"/>
        <w:spacing w:after="120"/>
        <w:ind w:left="1440" w:hanging="709"/>
      </w:pPr>
      <w:r w:rsidRPr="004C7307">
        <w:lastRenderedPageBreak/>
        <w:t>d</w:t>
      </w:r>
      <w:r w:rsidRPr="004C7307">
        <w:rPr>
          <w:vertAlign w:val="subscript"/>
        </w:rPr>
        <w:t>ii</w:t>
      </w:r>
      <w:r w:rsidRPr="004C7307">
        <w:rPr>
          <w:vertAlign w:val="subscript"/>
        </w:rPr>
        <w:tab/>
      </w:r>
      <w:r w:rsidRPr="004C7307">
        <w:t>– defined as</w:t>
      </w:r>
      <w:r w:rsidR="004D2B96" w:rsidRPr="004C7307">
        <w:t xml:space="preserve"> 3 </w:t>
      </w:r>
      <w:proofErr w:type="spellStart"/>
      <w:r w:rsidR="00CB7E63">
        <w:t>kilometer</w:t>
      </w:r>
      <w:r w:rsidR="00506FA0" w:rsidRPr="004C7307">
        <w:t>s</w:t>
      </w:r>
      <w:proofErr w:type="spellEnd"/>
      <w:r w:rsidR="004D2B96" w:rsidRPr="004C7307">
        <w:t xml:space="preserve"> for each locality, and</w:t>
      </w:r>
      <w:r w:rsidRPr="004C7307">
        <w:t xml:space="preserve"> serves as the balance</w:t>
      </w:r>
      <w:r w:rsidR="009B6EA5" w:rsidRPr="004C7307">
        <w:t xml:space="preserve"> </w:t>
      </w:r>
      <w:r w:rsidRPr="004C7307">
        <w:t>parameter for the self-population</w:t>
      </w:r>
      <w:r w:rsidR="00A24F92" w:rsidRPr="004C7307">
        <w:t xml:space="preserve"> sizes</w:t>
      </w:r>
    </w:p>
    <w:p w14:paraId="4597C15A" w14:textId="76350A69" w:rsidR="009B6EA5" w:rsidRPr="004C7307" w:rsidRDefault="009B6EA5" w:rsidP="00B71AB5">
      <w:pPr>
        <w:pStyle w:val="body"/>
        <w:ind w:left="1418" w:hanging="709"/>
      </w:pPr>
      <w:r w:rsidRPr="004C7307">
        <w:t xml:space="preserve">1.19 </w:t>
      </w:r>
      <w:r w:rsidRPr="004C7307">
        <w:tab/>
        <w:t>– estimate of the distance decay parameter</w:t>
      </w:r>
    </w:p>
    <w:p w14:paraId="69E1861D" w14:textId="77777777" w:rsidR="007C0619" w:rsidRPr="007948B5" w:rsidRDefault="007C0619" w:rsidP="007D064C">
      <w:pPr>
        <w:pStyle w:val="body"/>
        <w:spacing w:before="240"/>
        <w:rPr>
          <w:b/>
          <w:bCs/>
        </w:rPr>
      </w:pPr>
      <w:r w:rsidRPr="007948B5">
        <w:rPr>
          <w:b/>
          <w:bCs/>
        </w:rPr>
        <w:t xml:space="preserve">The larger the localities j, and the closer they are to locality </w:t>
      </w:r>
      <w:proofErr w:type="spellStart"/>
      <w:r w:rsidRPr="007948B5">
        <w:rPr>
          <w:b/>
          <w:bCs/>
        </w:rPr>
        <w:t>i</w:t>
      </w:r>
      <w:proofErr w:type="spellEnd"/>
      <w:r w:rsidRPr="007948B5">
        <w:rPr>
          <w:b/>
          <w:bCs/>
        </w:rPr>
        <w:t xml:space="preserve">, the greater the accessibility of locality </w:t>
      </w:r>
      <w:proofErr w:type="spellStart"/>
      <w:r w:rsidRPr="007948B5">
        <w:rPr>
          <w:b/>
          <w:bCs/>
        </w:rPr>
        <w:t>i</w:t>
      </w:r>
      <w:proofErr w:type="spellEnd"/>
      <w:r w:rsidRPr="007948B5">
        <w:rPr>
          <w:b/>
          <w:bCs/>
        </w:rPr>
        <w:t xml:space="preserve"> and the less peripheral it is.</w:t>
      </w:r>
    </w:p>
    <w:p w14:paraId="0BE3005F" w14:textId="6BDD5295" w:rsidR="007C0619" w:rsidRPr="009D5E35" w:rsidRDefault="007C0619" w:rsidP="00A90548">
      <w:pPr>
        <w:pStyle w:val="body"/>
      </w:pPr>
      <w:r w:rsidRPr="009D5E35">
        <w:rPr>
          <w:b/>
          <w:bCs/>
        </w:rPr>
        <w:t xml:space="preserve">The location of the localities </w:t>
      </w:r>
      <w:r w:rsidRPr="009D5E35">
        <w:t xml:space="preserve">was determined according to a </w:t>
      </w:r>
      <w:r w:rsidRPr="005F3B4F">
        <w:t>layer</w:t>
      </w:r>
      <w:r w:rsidR="000C2463" w:rsidRPr="005F3B4F">
        <w:t xml:space="preserve"> of points</w:t>
      </w:r>
      <w:r w:rsidRPr="009D5E35">
        <w:t xml:space="preserve"> of all localities in Israel, updated to the end of 20</w:t>
      </w:r>
      <w:r w:rsidR="00A90548">
        <w:t>20</w:t>
      </w:r>
      <w:r w:rsidRPr="009D5E35">
        <w:t xml:space="preserve">. </w:t>
      </w:r>
      <w:r w:rsidR="000C2463" w:rsidRPr="009D5E35">
        <w:t>In this layer, the coordinates of the point indicating the location of the locality were o</w:t>
      </w:r>
      <w:r w:rsidR="0077021B">
        <w:t>btained as the average of the x–</w:t>
      </w:r>
      <w:r w:rsidR="000C2463" w:rsidRPr="009D5E35">
        <w:t>coord</w:t>
      </w:r>
      <w:r w:rsidR="0077021B">
        <w:t>inates and the average of the y–</w:t>
      </w:r>
      <w:r w:rsidR="000C2463" w:rsidRPr="009D5E35">
        <w:t>coordinates of the middle point</w:t>
      </w:r>
      <w:r w:rsidR="005F3B4F">
        <w:t>s</w:t>
      </w:r>
      <w:r w:rsidR="000C2463" w:rsidRPr="009D5E35">
        <w:t xml:space="preserve"> of all the buildings located within the jurisdiction of the locality. In a few cases, in which the calculated point fell outside the jurisdiction of the locality, a different point was determined, close to the calculated point and within the jurisdiction of the locality.</w:t>
      </w:r>
    </w:p>
    <w:p w14:paraId="1E91FD54" w14:textId="758924BB" w:rsidR="00DD1241" w:rsidRPr="009D5E35" w:rsidRDefault="000C2463" w:rsidP="00A90548">
      <w:pPr>
        <w:pStyle w:val="body"/>
      </w:pPr>
      <w:r w:rsidRPr="005F3B4F">
        <w:rPr>
          <w:b/>
          <w:bCs/>
        </w:rPr>
        <w:t>The distances</w:t>
      </w:r>
      <w:r w:rsidRPr="005F3B4F">
        <w:t xml:space="preserve"> we</w:t>
      </w:r>
      <w:r w:rsidR="00CE3860" w:rsidRPr="005F3B4F">
        <w:t>re calculated between the centroid</w:t>
      </w:r>
      <w:r w:rsidRPr="005F3B4F">
        <w:t xml:space="preserve">s of the localities (the </w:t>
      </w:r>
      <w:r w:rsidR="00CA405C" w:rsidRPr="005F3B4F">
        <w:t>indicator points)</w:t>
      </w:r>
      <w:r w:rsidR="00CA405C" w:rsidRPr="009D5E35">
        <w:t>, according to the shortest distance</w:t>
      </w:r>
      <w:r w:rsidRPr="009D5E35">
        <w:t xml:space="preserve"> </w:t>
      </w:r>
      <w:r w:rsidR="004A3AB2" w:rsidRPr="009D5E35">
        <w:t>through the road network. The road network was defined based on the road layer of the “</w:t>
      </w:r>
      <w:proofErr w:type="spellStart"/>
      <w:r w:rsidR="004A3AB2" w:rsidRPr="009D5E35">
        <w:t>Mapa</w:t>
      </w:r>
      <w:proofErr w:type="spellEnd"/>
      <w:r w:rsidR="004A3AB2" w:rsidRPr="009D5E35">
        <w:t xml:space="preserve">” company as of </w:t>
      </w:r>
      <w:r w:rsidR="00A90548">
        <w:t>December</w:t>
      </w:r>
      <w:r w:rsidR="004A3AB2" w:rsidRPr="009D5E35">
        <w:t xml:space="preserve"> 20</w:t>
      </w:r>
      <w:r w:rsidR="00A90548">
        <w:t>20</w:t>
      </w:r>
      <w:r w:rsidR="004A3AB2" w:rsidRPr="009D5E35">
        <w:t>, after deleting the following types of roads:</w:t>
      </w:r>
    </w:p>
    <w:p w14:paraId="61B0378F" w14:textId="77777777" w:rsidR="004A3AB2" w:rsidRPr="009D5E35" w:rsidRDefault="004A3AB2" w:rsidP="0008683D">
      <w:pPr>
        <w:pStyle w:val="body"/>
        <w:numPr>
          <w:ilvl w:val="0"/>
          <w:numId w:val="12"/>
        </w:numPr>
        <w:ind w:left="426" w:hanging="426"/>
      </w:pPr>
      <w:r w:rsidRPr="009D5E35">
        <w:t>Roads not suitable for car traffic (such as a bicycle path, path for pedestrians, pedestrian mall, a road for 4 x 4 vehicles</w:t>
      </w:r>
      <w:r w:rsidR="001D58CC">
        <w:t>, or</w:t>
      </w:r>
      <w:r w:rsidRPr="009D5E35">
        <w:t xml:space="preserve"> a dirt road).</w:t>
      </w:r>
    </w:p>
    <w:p w14:paraId="4050640F" w14:textId="77777777" w:rsidR="004A3AB2" w:rsidRPr="009D5E35" w:rsidRDefault="004A3AB2" w:rsidP="0008683D">
      <w:pPr>
        <w:pStyle w:val="body"/>
        <w:numPr>
          <w:ilvl w:val="0"/>
          <w:numId w:val="12"/>
        </w:numPr>
        <w:ind w:left="426" w:hanging="426"/>
      </w:pPr>
      <w:r w:rsidRPr="009D5E35">
        <w:t xml:space="preserve">Roads on which travel is permitted </w:t>
      </w:r>
      <w:r w:rsidR="001D58CC" w:rsidRPr="009D5E35">
        <w:t xml:space="preserve">only </w:t>
      </w:r>
      <w:r w:rsidRPr="009D5E35">
        <w:t>with a military escort.</w:t>
      </w:r>
    </w:p>
    <w:p w14:paraId="671B57A2" w14:textId="77777777" w:rsidR="004A3AB2" w:rsidRPr="009D5E35" w:rsidRDefault="00A86C0A" w:rsidP="0008683D">
      <w:pPr>
        <w:pStyle w:val="body"/>
        <w:numPr>
          <w:ilvl w:val="0"/>
          <w:numId w:val="12"/>
        </w:numPr>
        <w:ind w:left="426" w:hanging="426"/>
      </w:pPr>
      <w:r w:rsidRPr="009D5E35">
        <w:t>Roads in the Judea and Samaria Area in Areas A and B, and roads in Area C</w:t>
      </w:r>
      <w:r w:rsidRPr="009D5E35">
        <w:rPr>
          <w:rStyle w:val="ab"/>
        </w:rPr>
        <w:footnoteReference w:id="2"/>
      </w:r>
      <w:r w:rsidRPr="009D5E35">
        <w:t xml:space="preserve"> on which travel by Israeli citizens is not permi</w:t>
      </w:r>
      <w:r w:rsidR="005F3B4F">
        <w:t>tted</w:t>
      </w:r>
      <w:r w:rsidRPr="009D5E35">
        <w:t xml:space="preserve"> according to army regulations. </w:t>
      </w:r>
    </w:p>
    <w:p w14:paraId="1EFDC6EF" w14:textId="77777777" w:rsidR="00407B2B" w:rsidRPr="009D5E35" w:rsidRDefault="00407B2B" w:rsidP="00DE2A44">
      <w:pPr>
        <w:pStyle w:val="body"/>
      </w:pPr>
      <w:r w:rsidRPr="009D5E35">
        <w:t>In addition, when the points of ori</w:t>
      </w:r>
      <w:r w:rsidR="00BF11C9" w:rsidRPr="009D5E35">
        <w:t xml:space="preserve">gin and destination </w:t>
      </w:r>
      <w:r w:rsidR="0077021B">
        <w:t>we</w:t>
      </w:r>
      <w:r w:rsidR="00BF11C9" w:rsidRPr="009D5E35">
        <w:t>re not within the J</w:t>
      </w:r>
      <w:r w:rsidR="001C3BBC" w:rsidRPr="009D5E35">
        <w:t>udea</w:t>
      </w:r>
      <w:r w:rsidR="00775CEC">
        <w:t xml:space="preserve"> and Sama</w:t>
      </w:r>
      <w:r w:rsidR="00C76BEF">
        <w:t>ria A</w:t>
      </w:r>
      <w:r w:rsidR="003A3ED8" w:rsidRPr="009D5E35">
        <w:t>rea, roads that pass through</w:t>
      </w:r>
      <w:r w:rsidR="001C3BBC" w:rsidRPr="009D5E35">
        <w:t xml:space="preserve"> the Judea and Samaria Area </w:t>
      </w:r>
      <w:r w:rsidR="0077021B">
        <w:t>we</w:t>
      </w:r>
      <w:r w:rsidR="001C3BBC" w:rsidRPr="009D5E35">
        <w:t xml:space="preserve">re not </w:t>
      </w:r>
      <w:proofErr w:type="gramStart"/>
      <w:r w:rsidR="001C3BBC" w:rsidRPr="009D5E35">
        <w:t>taken into account</w:t>
      </w:r>
      <w:proofErr w:type="gramEnd"/>
      <w:r w:rsidR="00BF11C9" w:rsidRPr="009D5E35">
        <w:t xml:space="preserve"> </w:t>
      </w:r>
      <w:r w:rsidR="003A3ED8" w:rsidRPr="009D5E35">
        <w:t>even if this would shorten the route. Nonetheless, the major roads 1, 90, 50, and 443 were included even though parts of them pass through the Judea and Samaria Area.</w:t>
      </w:r>
    </w:p>
    <w:p w14:paraId="08C57394" w14:textId="77777777" w:rsidR="005F3B4F" w:rsidRPr="007948B5" w:rsidRDefault="005F3B4F" w:rsidP="00DE2A44">
      <w:pPr>
        <w:pStyle w:val="body"/>
        <w:rPr>
          <w:b/>
          <w:bCs/>
        </w:rPr>
      </w:pPr>
      <w:r w:rsidRPr="007948B5">
        <w:rPr>
          <w:b/>
          <w:bCs/>
        </w:rPr>
        <w:t>The determination of locations of localities and calculation of the distances was performed by t</w:t>
      </w:r>
      <w:r w:rsidR="003A3ED8" w:rsidRPr="007948B5">
        <w:rPr>
          <w:b/>
          <w:bCs/>
        </w:rPr>
        <w:t xml:space="preserve">he GIS-Geography Sector at the </w:t>
      </w:r>
      <w:r w:rsidR="00C01ED6" w:rsidRPr="007948B5">
        <w:rPr>
          <w:b/>
          <w:bCs/>
        </w:rPr>
        <w:t>CBS</w:t>
      </w:r>
      <w:r w:rsidRPr="007948B5">
        <w:rPr>
          <w:b/>
          <w:bCs/>
        </w:rPr>
        <w:t>.</w:t>
      </w:r>
      <w:r w:rsidR="003A3ED8" w:rsidRPr="007948B5">
        <w:rPr>
          <w:b/>
          <w:bCs/>
        </w:rPr>
        <w:t xml:space="preserve"> </w:t>
      </w:r>
    </w:p>
    <w:p w14:paraId="19EFA373" w14:textId="0851C796" w:rsidR="003A3ED8" w:rsidRPr="009D5E35" w:rsidRDefault="003A3ED8" w:rsidP="006F33ED">
      <w:pPr>
        <w:pStyle w:val="body"/>
      </w:pPr>
      <w:r w:rsidRPr="009D5E35">
        <w:t xml:space="preserve">Calculation of the </w:t>
      </w:r>
      <w:r w:rsidR="00555387">
        <w:t>potential accessibility index</w:t>
      </w:r>
      <w:r w:rsidRPr="009D5E35">
        <w:t xml:space="preserve"> includes </w:t>
      </w:r>
      <w:r w:rsidRPr="009D5E35">
        <w:rPr>
          <w:b/>
          <w:bCs/>
        </w:rPr>
        <w:t>two parameters</w:t>
      </w:r>
      <w:r w:rsidRPr="009D5E35">
        <w:t xml:space="preserve">: </w:t>
      </w:r>
      <w:r w:rsidR="00F6705B">
        <w:t>s</w:t>
      </w:r>
      <w:r w:rsidRPr="009D5E35">
        <w:t xml:space="preserve">elf-distance, which serves as the balance parameter </w:t>
      </w:r>
      <w:r w:rsidR="005F3B4F">
        <w:t>for</w:t>
      </w:r>
      <w:r w:rsidR="0008683D">
        <w:t xml:space="preserve"> the </w:t>
      </w:r>
      <w:r w:rsidR="003A580F" w:rsidRPr="009D5E35">
        <w:t>self-</w:t>
      </w:r>
      <w:r w:rsidRPr="009D5E35">
        <w:t>population</w:t>
      </w:r>
      <w:r w:rsidR="0008683D">
        <w:t xml:space="preserve"> sizes</w:t>
      </w:r>
      <w:r w:rsidR="003A580F" w:rsidRPr="009D5E35">
        <w:t xml:space="preserve">, and </w:t>
      </w:r>
      <w:r w:rsidR="005F3B4F">
        <w:t>the</w:t>
      </w:r>
      <w:r w:rsidR="003A580F" w:rsidRPr="009D5E35">
        <w:t xml:space="preserve"> power </w:t>
      </w:r>
      <w:r w:rsidR="005F3B4F">
        <w:t>in</w:t>
      </w:r>
      <w:r w:rsidR="003A580F" w:rsidRPr="009D5E35">
        <w:t xml:space="preserve"> the d</w:t>
      </w:r>
      <w:r w:rsidR="00FA02A6" w:rsidRPr="009D5E35">
        <w:t xml:space="preserve">istance function that constitutes the distance </w:t>
      </w:r>
      <w:r w:rsidR="005F3B4F">
        <w:t xml:space="preserve">decay </w:t>
      </w:r>
      <w:r w:rsidR="00FA02A6" w:rsidRPr="009D5E35">
        <w:t>parameter. The</w:t>
      </w:r>
      <w:r w:rsidR="0048373C">
        <w:t xml:space="preserve"> values of the</w:t>
      </w:r>
      <w:r w:rsidR="004E0635">
        <w:t>s</w:t>
      </w:r>
      <w:r w:rsidR="00FA02A6" w:rsidRPr="009D5E35">
        <w:t xml:space="preserve">e parameters remained </w:t>
      </w:r>
      <w:r w:rsidR="004E0635">
        <w:t xml:space="preserve">the </w:t>
      </w:r>
      <w:r w:rsidR="0048373C">
        <w:t>same as</w:t>
      </w:r>
      <w:r w:rsidR="004E0635">
        <w:t xml:space="preserve"> </w:t>
      </w:r>
      <w:r w:rsidR="00FA02A6" w:rsidRPr="009D5E35">
        <w:t xml:space="preserve">in the </w:t>
      </w:r>
      <w:r w:rsidR="00D31603">
        <w:t>Peripherality Index 20</w:t>
      </w:r>
      <w:r w:rsidR="006F33ED">
        <w:t>15</w:t>
      </w:r>
      <w:r w:rsidR="00FA02A6" w:rsidRPr="009D5E35">
        <w:t>.</w:t>
      </w:r>
    </w:p>
    <w:p w14:paraId="195E2C7A" w14:textId="77777777" w:rsidR="00FA02A6" w:rsidRPr="009D5E35" w:rsidRDefault="00FA02A6" w:rsidP="00230FB8">
      <w:pPr>
        <w:pStyle w:val="3"/>
        <w:numPr>
          <w:ilvl w:val="0"/>
          <w:numId w:val="25"/>
        </w:numPr>
        <w:ind w:left="357" w:hanging="357"/>
      </w:pPr>
      <w:bookmarkStart w:id="65" w:name="_Toc127808137"/>
      <w:bookmarkStart w:id="66" w:name="_Toc371434"/>
      <w:bookmarkStart w:id="67" w:name="_Toc149219680"/>
      <w:r w:rsidRPr="009D5E35">
        <w:lastRenderedPageBreak/>
        <w:t>Proximity to the Boundary of the Tel Aviv District</w:t>
      </w:r>
      <w:bookmarkEnd w:id="65"/>
      <w:bookmarkEnd w:id="66"/>
      <w:bookmarkEnd w:id="67"/>
    </w:p>
    <w:p w14:paraId="4CDCF28D" w14:textId="77777777" w:rsidR="00FA02A6" w:rsidRPr="009D5E35" w:rsidRDefault="004E0635" w:rsidP="00DE2A44">
      <w:pPr>
        <w:pStyle w:val="body"/>
      </w:pPr>
      <w:r>
        <w:t>The Tel Aviv District constitutes</w:t>
      </w:r>
      <w:r w:rsidR="00FA02A6" w:rsidRPr="009D5E35">
        <w:t xml:space="preserve"> a national economic and business </w:t>
      </w:r>
      <w:r w:rsidR="00775CEC" w:rsidRPr="009D5E35">
        <w:t>centre</w:t>
      </w:r>
      <w:r w:rsidR="00FA02A6" w:rsidRPr="009D5E35">
        <w:t>. Although the population of the localities in the Tel Aviv District is included in the calculation of the potential accessibility index, pro</w:t>
      </w:r>
      <w:r>
        <w:t>ximity to this</w:t>
      </w:r>
      <w:r w:rsidR="00FA02A6" w:rsidRPr="009D5E35">
        <w:t xml:space="preserve"> district has additional importance </w:t>
      </w:r>
      <w:r>
        <w:t>in the sense of</w:t>
      </w:r>
      <w:r w:rsidR="00A24F92">
        <w:t xml:space="preserve"> its economic opportunities.</w:t>
      </w:r>
      <w:r w:rsidR="00FA02A6" w:rsidRPr="009D5E35">
        <w:rPr>
          <w:rStyle w:val="ab"/>
        </w:rPr>
        <w:footnoteReference w:id="3"/>
      </w:r>
      <w:r w:rsidR="00966D34" w:rsidRPr="009D5E35">
        <w:t xml:space="preserve"> The value of the proximity was calculated as follows:</w:t>
      </w:r>
    </w:p>
    <w:p w14:paraId="5351E7D5" w14:textId="44628A20" w:rsidR="00966D34" w:rsidRPr="009D5E35" w:rsidRDefault="00966D34" w:rsidP="004D7084">
      <w:pPr>
        <w:pStyle w:val="body"/>
        <w:numPr>
          <w:ilvl w:val="0"/>
          <w:numId w:val="13"/>
        </w:numPr>
        <w:ind w:left="426" w:hanging="426"/>
      </w:pPr>
      <w:r w:rsidRPr="009D5E35">
        <w:t xml:space="preserve">Each locality in the Tel Aviv District, which </w:t>
      </w:r>
      <w:r w:rsidR="004E0635">
        <w:t>is</w:t>
      </w:r>
      <w:r w:rsidRPr="009D5E35">
        <w:t xml:space="preserve"> also the core and the inner ring of the Tel Aviv metropolitan area, was assigned a zero for this component. The </w:t>
      </w:r>
      <w:r w:rsidRPr="009D5E35">
        <w:rPr>
          <w:b/>
          <w:bCs/>
        </w:rPr>
        <w:t>localities included in the Tel Aviv District</w:t>
      </w:r>
      <w:r w:rsidRPr="009D5E35">
        <w:t xml:space="preserve"> </w:t>
      </w:r>
      <w:r w:rsidR="004E0635">
        <w:t>a</w:t>
      </w:r>
      <w:r w:rsidR="006B3DF4" w:rsidRPr="009D5E35">
        <w:t xml:space="preserve">re: Tel Aviv-Yafo, </w:t>
      </w:r>
      <w:proofErr w:type="spellStart"/>
      <w:r w:rsidR="006B3DF4" w:rsidRPr="009D5E35">
        <w:t>Kefar</w:t>
      </w:r>
      <w:proofErr w:type="spellEnd"/>
      <w:r w:rsidR="006B3DF4" w:rsidRPr="009D5E35">
        <w:t xml:space="preserve"> </w:t>
      </w:r>
      <w:proofErr w:type="spellStart"/>
      <w:r w:rsidR="006B3DF4" w:rsidRPr="009D5E35">
        <w:t>She</w:t>
      </w:r>
      <w:r w:rsidRPr="009D5E35">
        <w:t>m</w:t>
      </w:r>
      <w:r w:rsidR="006B3DF4" w:rsidRPr="009D5E35">
        <w:t>a</w:t>
      </w:r>
      <w:r w:rsidRPr="009D5E35">
        <w:t>ryahu</w:t>
      </w:r>
      <w:proofErr w:type="spellEnd"/>
      <w:r w:rsidR="006B3DF4" w:rsidRPr="009D5E35">
        <w:t xml:space="preserve">, </w:t>
      </w:r>
      <w:proofErr w:type="spellStart"/>
      <w:r w:rsidR="00993579">
        <w:t>Herzliyya</w:t>
      </w:r>
      <w:proofErr w:type="spellEnd"/>
      <w:r w:rsidR="00993579">
        <w:t xml:space="preserve">, </w:t>
      </w:r>
      <w:proofErr w:type="spellStart"/>
      <w:r w:rsidR="006B3DF4" w:rsidRPr="009D5E35">
        <w:t>Gelil</w:t>
      </w:r>
      <w:proofErr w:type="spellEnd"/>
      <w:r w:rsidR="006B3DF4" w:rsidRPr="009D5E35">
        <w:t xml:space="preserve"> Yam, Ramat </w:t>
      </w:r>
      <w:proofErr w:type="spellStart"/>
      <w:r w:rsidR="006B3DF4" w:rsidRPr="009D5E35">
        <w:t>HaSharon</w:t>
      </w:r>
      <w:proofErr w:type="spellEnd"/>
      <w:r w:rsidR="006B3DF4" w:rsidRPr="009D5E35">
        <w:t xml:space="preserve">, Bene </w:t>
      </w:r>
      <w:proofErr w:type="spellStart"/>
      <w:r w:rsidR="006B3DF4" w:rsidRPr="009D5E35">
        <w:t>Beraq</w:t>
      </w:r>
      <w:proofErr w:type="spellEnd"/>
      <w:r w:rsidR="006B3DF4" w:rsidRPr="009D5E35">
        <w:t xml:space="preserve">, </w:t>
      </w:r>
      <w:proofErr w:type="spellStart"/>
      <w:r w:rsidR="006B3DF4" w:rsidRPr="009D5E35">
        <w:t>Giv’atayim</w:t>
      </w:r>
      <w:proofErr w:type="spellEnd"/>
      <w:r w:rsidR="006B3DF4" w:rsidRPr="009D5E35">
        <w:t xml:space="preserve">, </w:t>
      </w:r>
      <w:r w:rsidR="00D40475" w:rsidRPr="009D5E35">
        <w:t xml:space="preserve">Ramat Gan, </w:t>
      </w:r>
      <w:proofErr w:type="spellStart"/>
      <w:r w:rsidR="00D40475" w:rsidRPr="009D5E35">
        <w:t>Kiryat</w:t>
      </w:r>
      <w:proofErr w:type="spellEnd"/>
      <w:r w:rsidR="00D40475" w:rsidRPr="009D5E35">
        <w:t xml:space="preserve"> Ono, Or Yehuda, </w:t>
      </w:r>
      <w:proofErr w:type="spellStart"/>
      <w:r w:rsidR="00D40475" w:rsidRPr="009D5E35">
        <w:t>Azor</w:t>
      </w:r>
      <w:proofErr w:type="spellEnd"/>
      <w:r w:rsidR="00D40475" w:rsidRPr="009D5E35">
        <w:t>, Holon, and Bat Yam.</w:t>
      </w:r>
    </w:p>
    <w:p w14:paraId="0837C3B4" w14:textId="270F8B59" w:rsidR="00215603" w:rsidRPr="009D5E35" w:rsidRDefault="00215603" w:rsidP="00F6705B">
      <w:pPr>
        <w:pStyle w:val="body"/>
        <w:numPr>
          <w:ilvl w:val="0"/>
          <w:numId w:val="13"/>
        </w:numPr>
        <w:ind w:left="426" w:hanging="426"/>
      </w:pPr>
      <w:r w:rsidRPr="009D5E35">
        <w:t xml:space="preserve">For each locality outside the Tel Aviv District, the shortest distance in </w:t>
      </w:r>
      <w:proofErr w:type="spellStart"/>
      <w:r w:rsidR="00CB7E63">
        <w:t>kilometer</w:t>
      </w:r>
      <w:r w:rsidR="00506FA0" w:rsidRPr="009D5E35">
        <w:t>s</w:t>
      </w:r>
      <w:proofErr w:type="spellEnd"/>
      <w:r w:rsidRPr="009D5E35">
        <w:t xml:space="preserve"> from the </w:t>
      </w:r>
      <w:r w:rsidR="00CE3860">
        <w:t>cent</w:t>
      </w:r>
      <w:r w:rsidR="00F6705B">
        <w:t>re</w:t>
      </w:r>
      <w:r w:rsidRPr="009D5E35">
        <w:t xml:space="preserve"> of the locality to the district boundary, on the road network, was calculated. This value was multiplied by </w:t>
      </w:r>
      <w:r w:rsidR="00B50F59">
        <w:t>minus one</w:t>
      </w:r>
      <w:r w:rsidRPr="009D5E35">
        <w:t xml:space="preserve"> so that the higher the value of the component, the </w:t>
      </w:r>
      <w:r w:rsidR="00FE6F21">
        <w:t>more central</w:t>
      </w:r>
      <w:r w:rsidRPr="009D5E35">
        <w:t xml:space="preserve"> the locality.</w:t>
      </w:r>
    </w:p>
    <w:p w14:paraId="5E5B8464" w14:textId="77777777" w:rsidR="00215603" w:rsidRPr="009D5E35" w:rsidRDefault="00215603" w:rsidP="0008683D">
      <w:pPr>
        <w:pStyle w:val="body"/>
        <w:numPr>
          <w:ilvl w:val="0"/>
          <w:numId w:val="13"/>
        </w:numPr>
        <w:ind w:left="426" w:hanging="426"/>
      </w:pPr>
      <w:r w:rsidRPr="009D5E35">
        <w:t>The distances w</w:t>
      </w:r>
      <w:r w:rsidR="006870E3" w:rsidRPr="009D5E35">
        <w:t>ere</w:t>
      </w:r>
      <w:r w:rsidR="003537B2">
        <w:t xml:space="preserve"> calculated by the GIS–</w:t>
      </w:r>
      <w:r w:rsidRPr="009D5E35">
        <w:t>Geography sector</w:t>
      </w:r>
      <w:r w:rsidR="00804AFE" w:rsidRPr="009D5E35">
        <w:t xml:space="preserve"> of the </w:t>
      </w:r>
      <w:r w:rsidR="00C01ED6">
        <w:t>CBS</w:t>
      </w:r>
      <w:r w:rsidR="00804AFE" w:rsidRPr="009D5E35">
        <w:t xml:space="preserve">, using the same criteria that were applied in the calculation of the distances between localities for the </w:t>
      </w:r>
      <w:r w:rsidR="00555387">
        <w:t>potential accessibility index</w:t>
      </w:r>
      <w:r w:rsidR="00804AFE" w:rsidRPr="009D5E35">
        <w:t>.</w:t>
      </w:r>
    </w:p>
    <w:p w14:paraId="77F2CC69" w14:textId="77777777" w:rsidR="00804AFE" w:rsidRPr="009D5E35" w:rsidRDefault="00804AFE" w:rsidP="007D064C">
      <w:pPr>
        <w:pStyle w:val="3"/>
        <w:numPr>
          <w:ilvl w:val="0"/>
          <w:numId w:val="25"/>
        </w:numPr>
        <w:spacing w:before="240" w:after="240"/>
        <w:ind w:left="357" w:hanging="357"/>
      </w:pPr>
      <w:bookmarkStart w:id="68" w:name="_Toc127808138"/>
      <w:bookmarkStart w:id="69" w:name="_Toc371435"/>
      <w:bookmarkStart w:id="70" w:name="_Toc149219681"/>
      <w:r w:rsidRPr="009D5E35">
        <w:t>Weighting of the Components</w:t>
      </w:r>
      <w:bookmarkEnd w:id="68"/>
      <w:bookmarkEnd w:id="69"/>
      <w:bookmarkEnd w:id="70"/>
    </w:p>
    <w:p w14:paraId="3898E16A" w14:textId="624716E0" w:rsidR="00804AFE" w:rsidRDefault="00804AFE" w:rsidP="006F33ED">
      <w:pPr>
        <w:pStyle w:val="body"/>
      </w:pPr>
      <w:r w:rsidRPr="009D5E35">
        <w:t xml:space="preserve">The value of the </w:t>
      </w:r>
      <w:r w:rsidR="00A94A6E">
        <w:t>Peripherality Index</w:t>
      </w:r>
      <w:r w:rsidRPr="009D5E35">
        <w:t xml:space="preserve"> for a locality was obtained as a weight</w:t>
      </w:r>
      <w:r w:rsidR="00993579">
        <w:t>ed average</w:t>
      </w:r>
      <w:r w:rsidRPr="009D5E35">
        <w:t xml:space="preserve"> of the standardized values of the two components, with a weight of two-thirds for the </w:t>
      </w:r>
      <w:r w:rsidR="00555387">
        <w:t>potential accessibility index</w:t>
      </w:r>
      <w:r w:rsidR="00993579">
        <w:t xml:space="preserve"> and a weight</w:t>
      </w:r>
      <w:r w:rsidRPr="009D5E35">
        <w:t xml:space="preserve"> of one-third for the proximity to the Tel Aviv District </w:t>
      </w:r>
      <w:r w:rsidR="00C56C2B" w:rsidRPr="009D5E35">
        <w:t>boundary</w:t>
      </w:r>
      <w:r w:rsidRPr="009D5E35">
        <w:t>.</w:t>
      </w:r>
    </w:p>
    <w:p w14:paraId="5C0C705B" w14:textId="77777777" w:rsidR="00CE3860" w:rsidRPr="009D5E35" w:rsidRDefault="00CE3860" w:rsidP="00C54761">
      <w:pPr>
        <w:pStyle w:val="body"/>
        <w:spacing w:after="120"/>
      </w:pPr>
      <w:r>
        <w:t>The lowest value of the index indicates the most peripheral locality and the highest value indicates the most central locality.</w:t>
      </w:r>
    </w:p>
    <w:p w14:paraId="643F2C85" w14:textId="77777777" w:rsidR="00804AFE" w:rsidRPr="009D5E35" w:rsidRDefault="003D4981" w:rsidP="00157AD2">
      <w:pPr>
        <w:pStyle w:val="2"/>
        <w:numPr>
          <w:ilvl w:val="0"/>
          <w:numId w:val="21"/>
        </w:numPr>
        <w:spacing w:before="360" w:after="240"/>
        <w:ind w:left="357" w:hanging="357"/>
      </w:pPr>
      <w:bookmarkStart w:id="71" w:name="_Toc127808139"/>
      <w:bookmarkStart w:id="72" w:name="_Toc371436"/>
      <w:bookmarkStart w:id="73" w:name="_Toc149219682"/>
      <w:r w:rsidRPr="009D5E35">
        <w:t>Calculation of the Index for Local Authorities</w:t>
      </w:r>
      <w:bookmarkEnd w:id="71"/>
      <w:bookmarkEnd w:id="72"/>
      <w:bookmarkEnd w:id="73"/>
    </w:p>
    <w:p w14:paraId="669BE5DF" w14:textId="5976F124" w:rsidR="00157AD2" w:rsidRDefault="003D4981" w:rsidP="00C54761">
      <w:pPr>
        <w:pStyle w:val="body"/>
        <w:spacing w:after="120"/>
      </w:pPr>
      <w:r w:rsidRPr="009D5E35">
        <w:t xml:space="preserve">The </w:t>
      </w:r>
      <w:r w:rsidR="00A94A6E">
        <w:t>Peripherality Index</w:t>
      </w:r>
      <w:r w:rsidRPr="009D5E35">
        <w:t xml:space="preserve"> of a municipality or local council was obtained from the processing of the localities. The </w:t>
      </w:r>
      <w:r w:rsidR="00A94A6E">
        <w:t>Peripherality Index</w:t>
      </w:r>
      <w:r w:rsidRPr="009D5E35">
        <w:t xml:space="preserve"> of a </w:t>
      </w:r>
      <w:r w:rsidR="003537B2">
        <w:t>regional</w:t>
      </w:r>
      <w:r w:rsidRPr="009D5E35">
        <w:t xml:space="preserve"> council was obtained as an average of the </w:t>
      </w:r>
      <w:r w:rsidR="00ED2690">
        <w:t xml:space="preserve">index </w:t>
      </w:r>
      <w:r w:rsidRPr="009D5E35">
        <w:t xml:space="preserve">values of the localities in the </w:t>
      </w:r>
      <w:r w:rsidR="00ED2690">
        <w:t>council</w:t>
      </w:r>
      <w:r w:rsidRPr="009D5E35">
        <w:t>, weighted by</w:t>
      </w:r>
      <w:r w:rsidR="00A24F92">
        <w:t xml:space="preserve"> their population size</w:t>
      </w:r>
      <w:r w:rsidRPr="009D5E35">
        <w:t>.</w:t>
      </w:r>
    </w:p>
    <w:p w14:paraId="430DD3C9" w14:textId="77777777" w:rsidR="00157AD2" w:rsidRDefault="00157AD2">
      <w:pPr>
        <w:rPr>
          <w:rFonts w:asciiTheme="minorBidi" w:hAnsiTheme="minorBidi"/>
          <w:sz w:val="24"/>
          <w:szCs w:val="24"/>
        </w:rPr>
      </w:pPr>
      <w:r>
        <w:br w:type="page"/>
      </w:r>
    </w:p>
    <w:p w14:paraId="05CE8A03" w14:textId="77777777" w:rsidR="003D4981" w:rsidRPr="009D5E35" w:rsidRDefault="00E469B1" w:rsidP="00157AD2">
      <w:pPr>
        <w:pStyle w:val="2"/>
        <w:numPr>
          <w:ilvl w:val="0"/>
          <w:numId w:val="21"/>
        </w:numPr>
        <w:spacing w:before="360" w:after="240"/>
        <w:ind w:left="357" w:hanging="357"/>
      </w:pPr>
      <w:bookmarkStart w:id="74" w:name="_Toc127808140"/>
      <w:bookmarkStart w:id="75" w:name="_Toc371437"/>
      <w:bookmarkStart w:id="76" w:name="_Toc149219683"/>
      <w:r w:rsidRPr="009D5E35">
        <w:lastRenderedPageBreak/>
        <w:t>Allocation</w:t>
      </w:r>
      <w:r w:rsidR="008A3C6C" w:rsidRPr="009D5E35">
        <w:t xml:space="preserve"> </w:t>
      </w:r>
      <w:proofErr w:type="gramStart"/>
      <w:r w:rsidR="008A3C6C" w:rsidRPr="009D5E35">
        <w:t>Into</w:t>
      </w:r>
      <w:proofErr w:type="gramEnd"/>
      <w:r w:rsidR="008A3C6C" w:rsidRPr="009D5E35">
        <w:t xml:space="preserve"> Clusters</w:t>
      </w:r>
      <w:bookmarkEnd w:id="74"/>
      <w:bookmarkEnd w:id="75"/>
      <w:bookmarkEnd w:id="76"/>
    </w:p>
    <w:p w14:paraId="5F913B14" w14:textId="77777777" w:rsidR="00E84D9B" w:rsidRPr="009D5E35" w:rsidRDefault="00E84D9B" w:rsidP="00DE2A44">
      <w:pPr>
        <w:pStyle w:val="body"/>
      </w:pPr>
      <w:r w:rsidRPr="009D5E35">
        <w:t xml:space="preserve">The </w:t>
      </w:r>
      <w:r w:rsidRPr="009D5E35">
        <w:rPr>
          <w:b/>
          <w:bCs/>
        </w:rPr>
        <w:t xml:space="preserve">local authorities were divided into 10 homogeneous groups (clusters) </w:t>
      </w:r>
      <w:r w:rsidR="00E469B1" w:rsidRPr="009D5E35">
        <w:t xml:space="preserve">that were not </w:t>
      </w:r>
      <w:r w:rsidR="003537B2">
        <w:t xml:space="preserve">equal </w:t>
      </w:r>
      <w:r w:rsidR="00E469B1" w:rsidRPr="009D5E35">
        <w:t>in size, based on the value</w:t>
      </w:r>
      <w:r w:rsidR="00BF22DF" w:rsidRPr="009D5E35">
        <w:t>s</w:t>
      </w:r>
      <w:r w:rsidRPr="009D5E35">
        <w:t xml:space="preserve"> of their </w:t>
      </w:r>
      <w:r w:rsidR="00A94A6E">
        <w:t>Peripherality Index</w:t>
      </w:r>
      <w:r w:rsidRPr="009D5E35">
        <w:t xml:space="preserve">. The </w:t>
      </w:r>
      <w:r w:rsidR="00E469B1" w:rsidRPr="009D5E35">
        <w:t>allocation to groups</w:t>
      </w:r>
      <w:r w:rsidRPr="009D5E35">
        <w:t xml:space="preserve"> was p</w:t>
      </w:r>
      <w:r w:rsidR="00E469B1" w:rsidRPr="009D5E35">
        <w:t>roduce</w:t>
      </w:r>
      <w:r w:rsidRPr="009D5E35">
        <w:t xml:space="preserve">d using the hierarchical cluster analysis method, </w:t>
      </w:r>
      <w:r w:rsidR="00E469B1" w:rsidRPr="009D5E35">
        <w:t>so that the variance of the index values within clusters is mini</w:t>
      </w:r>
      <w:r w:rsidR="00AB49C4">
        <w:t>mized</w:t>
      </w:r>
      <w:r w:rsidR="00E469B1" w:rsidRPr="009D5E35">
        <w:t xml:space="preserve"> and the vari</w:t>
      </w:r>
      <w:r w:rsidR="00AB49C4">
        <w:t>ance between clusters is maximized</w:t>
      </w:r>
      <w:r w:rsidR="00E469B1" w:rsidRPr="009D5E35">
        <w:t>. Cluster 1 contains the most peripheral authorities, and Cluster 10 contains the most central authorities.</w:t>
      </w:r>
    </w:p>
    <w:p w14:paraId="61944BA0" w14:textId="77777777" w:rsidR="00EC1B43" w:rsidRDefault="00E469B1" w:rsidP="00EE4D2F">
      <w:pPr>
        <w:pStyle w:val="body"/>
      </w:pPr>
      <w:r w:rsidRPr="009D5E35">
        <w:rPr>
          <w:b/>
          <w:bCs/>
        </w:rPr>
        <w:t xml:space="preserve">Table A </w:t>
      </w:r>
      <w:r w:rsidRPr="009D5E35">
        <w:t xml:space="preserve">displays the number of local authorities, the range of </w:t>
      </w:r>
      <w:r w:rsidR="00BF22DF" w:rsidRPr="009D5E35">
        <w:t xml:space="preserve">the </w:t>
      </w:r>
      <w:r w:rsidR="00ED2690">
        <w:t>rank</w:t>
      </w:r>
      <w:r w:rsidRPr="009D5E35">
        <w:t xml:space="preserve">s, </w:t>
      </w:r>
      <w:r w:rsidR="00BF22DF" w:rsidRPr="009D5E35">
        <w:t xml:space="preserve">and </w:t>
      </w:r>
      <w:r w:rsidRPr="009D5E35">
        <w:t>the population size and percentage in each peripherality cluster a</w:t>
      </w:r>
      <w:r w:rsidR="00EE4D2F">
        <w:t>t the level of local authority.</w:t>
      </w:r>
    </w:p>
    <w:p w14:paraId="7E8F89EE" w14:textId="7168CC0B" w:rsidR="00BF22DF" w:rsidRPr="00EC1B43" w:rsidRDefault="00BF22DF" w:rsidP="0026394F">
      <w:pPr>
        <w:pStyle w:val="body"/>
        <w:jc w:val="center"/>
        <w:rPr>
          <w:b/>
          <w:bCs/>
        </w:rPr>
      </w:pPr>
      <w:r w:rsidRPr="00307D83">
        <w:rPr>
          <w:b/>
          <w:bCs/>
        </w:rPr>
        <w:t>Table A</w:t>
      </w:r>
      <w:r w:rsidR="00092B56" w:rsidRPr="00307D83">
        <w:rPr>
          <w:b/>
          <w:bCs/>
        </w:rPr>
        <w:t>.</w:t>
      </w:r>
      <w:r w:rsidRPr="00307D83">
        <w:rPr>
          <w:b/>
          <w:bCs/>
        </w:rPr>
        <w:t xml:space="preserve"> Distribution of Local Authorities by Peripherality Cluster, 20</w:t>
      </w:r>
      <w:r w:rsidR="0026394F" w:rsidRPr="00307D83">
        <w:rPr>
          <w:b/>
          <w:bCs/>
        </w:rPr>
        <w:t>20</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Caption w:val="Table A. Distribution of Local Authorities by Peripherality Cluster, 2020"/>
        <w:tblDescription w:val="Distribution of Local Authorities by Peripherality Cluster, 2020"/>
      </w:tblPr>
      <w:tblGrid>
        <w:gridCol w:w="1668"/>
        <w:gridCol w:w="1890"/>
        <w:gridCol w:w="1560"/>
        <w:gridCol w:w="1454"/>
        <w:gridCol w:w="1683"/>
        <w:gridCol w:w="30"/>
      </w:tblGrid>
      <w:tr w:rsidR="00F142A3" w:rsidRPr="0026394F" w14:paraId="3F34ED46" w14:textId="77777777" w:rsidTr="004B58C3">
        <w:trPr>
          <w:trHeight w:val="864"/>
          <w:tblHeader/>
          <w:jc w:val="center"/>
        </w:trPr>
        <w:tc>
          <w:tcPr>
            <w:tcW w:w="1418" w:type="dxa"/>
            <w:tcBorders>
              <w:top w:val="double" w:sz="4" w:space="0" w:color="auto"/>
              <w:bottom w:val="single" w:sz="4" w:space="0" w:color="auto"/>
            </w:tcBorders>
            <w:shd w:val="clear" w:color="auto" w:fill="auto"/>
            <w:vAlign w:val="center"/>
          </w:tcPr>
          <w:p w14:paraId="63AB75A8" w14:textId="77777777" w:rsidR="00BF22DF" w:rsidRPr="007D064C" w:rsidRDefault="00BF22DF" w:rsidP="00092B56">
            <w:pPr>
              <w:keepNext/>
              <w:spacing w:before="120" w:after="120"/>
              <w:jc w:val="center"/>
              <w:rPr>
                <w:rFonts w:asciiTheme="minorBidi" w:hAnsiTheme="minorBidi"/>
                <w:sz w:val="24"/>
                <w:szCs w:val="24"/>
                <w:rtl/>
              </w:rPr>
            </w:pPr>
            <w:r w:rsidRPr="007D064C">
              <w:rPr>
                <w:rFonts w:asciiTheme="minorBidi" w:hAnsiTheme="minorBidi"/>
                <w:sz w:val="24"/>
              </w:rPr>
              <w:t>Peripherality Cluster</w:t>
            </w:r>
          </w:p>
        </w:tc>
        <w:tc>
          <w:tcPr>
            <w:tcW w:w="1418" w:type="dxa"/>
            <w:tcBorders>
              <w:top w:val="double" w:sz="4" w:space="0" w:color="auto"/>
              <w:bottom w:val="single" w:sz="4" w:space="0" w:color="auto"/>
            </w:tcBorders>
            <w:shd w:val="clear" w:color="auto" w:fill="auto"/>
            <w:vAlign w:val="center"/>
          </w:tcPr>
          <w:p w14:paraId="43CD9429" w14:textId="77777777" w:rsidR="00BF22DF" w:rsidRPr="007D064C" w:rsidRDefault="00BF22DF" w:rsidP="00092B56">
            <w:pPr>
              <w:keepNext/>
              <w:spacing w:before="120" w:after="120"/>
              <w:jc w:val="center"/>
              <w:rPr>
                <w:rFonts w:asciiTheme="minorBidi" w:hAnsiTheme="minorBidi"/>
                <w:sz w:val="24"/>
                <w:szCs w:val="24"/>
                <w:rtl/>
              </w:rPr>
            </w:pPr>
            <w:r w:rsidRPr="007D064C">
              <w:rPr>
                <w:rFonts w:asciiTheme="minorBidi" w:hAnsiTheme="minorBidi"/>
                <w:sz w:val="24"/>
              </w:rPr>
              <w:t>Number of Local Authorities</w:t>
            </w:r>
          </w:p>
        </w:tc>
        <w:tc>
          <w:tcPr>
            <w:tcW w:w="1418" w:type="dxa"/>
            <w:tcBorders>
              <w:top w:val="double" w:sz="4" w:space="0" w:color="auto"/>
              <w:bottom w:val="single" w:sz="4" w:space="0" w:color="auto"/>
            </w:tcBorders>
            <w:vAlign w:val="center"/>
          </w:tcPr>
          <w:p w14:paraId="40B9B279" w14:textId="77777777" w:rsidR="00BF22DF" w:rsidRPr="007D064C" w:rsidRDefault="00BF22DF" w:rsidP="00092B56">
            <w:pPr>
              <w:keepNext/>
              <w:spacing w:before="120" w:after="120"/>
              <w:jc w:val="center"/>
              <w:rPr>
                <w:rFonts w:asciiTheme="minorBidi" w:hAnsiTheme="minorBidi"/>
                <w:sz w:val="24"/>
                <w:szCs w:val="24"/>
                <w:rtl/>
              </w:rPr>
            </w:pPr>
            <w:r w:rsidRPr="007D064C">
              <w:rPr>
                <w:rFonts w:asciiTheme="minorBidi" w:hAnsiTheme="minorBidi"/>
                <w:sz w:val="24"/>
              </w:rPr>
              <w:t>Range of Ranks</w:t>
            </w:r>
          </w:p>
        </w:tc>
        <w:tc>
          <w:tcPr>
            <w:tcW w:w="1418" w:type="dxa"/>
            <w:tcBorders>
              <w:top w:val="double" w:sz="4" w:space="0" w:color="auto"/>
              <w:bottom w:val="single" w:sz="4" w:space="0" w:color="auto"/>
            </w:tcBorders>
            <w:shd w:val="clear" w:color="auto" w:fill="auto"/>
            <w:vAlign w:val="center"/>
          </w:tcPr>
          <w:p w14:paraId="2F00B409" w14:textId="77777777" w:rsidR="00BF22DF" w:rsidRPr="007D064C" w:rsidRDefault="00BF22DF" w:rsidP="00092B56">
            <w:pPr>
              <w:keepNext/>
              <w:spacing w:before="120" w:after="120"/>
              <w:jc w:val="center"/>
              <w:rPr>
                <w:rFonts w:asciiTheme="minorBidi" w:hAnsiTheme="minorBidi"/>
                <w:sz w:val="24"/>
                <w:szCs w:val="24"/>
                <w:rtl/>
              </w:rPr>
            </w:pPr>
            <w:r w:rsidRPr="007D064C">
              <w:rPr>
                <w:rFonts w:asciiTheme="minorBidi" w:hAnsiTheme="minorBidi"/>
                <w:sz w:val="24"/>
              </w:rPr>
              <w:t>Total Population</w:t>
            </w:r>
          </w:p>
        </w:tc>
        <w:tc>
          <w:tcPr>
            <w:tcW w:w="1418" w:type="dxa"/>
            <w:gridSpan w:val="2"/>
            <w:tcBorders>
              <w:top w:val="double" w:sz="4" w:space="0" w:color="auto"/>
              <w:bottom w:val="single" w:sz="4" w:space="0" w:color="auto"/>
            </w:tcBorders>
            <w:vAlign w:val="center"/>
          </w:tcPr>
          <w:p w14:paraId="49077C36" w14:textId="77777777" w:rsidR="00BF22DF" w:rsidRPr="007D064C" w:rsidRDefault="00BF22DF" w:rsidP="00092B56">
            <w:pPr>
              <w:keepNext/>
              <w:spacing w:before="120" w:after="120"/>
              <w:jc w:val="center"/>
              <w:rPr>
                <w:rFonts w:asciiTheme="minorBidi" w:hAnsiTheme="minorBidi"/>
                <w:sz w:val="24"/>
                <w:szCs w:val="24"/>
                <w:rtl/>
              </w:rPr>
            </w:pPr>
            <w:r w:rsidRPr="007D064C">
              <w:rPr>
                <w:rFonts w:asciiTheme="minorBidi" w:hAnsiTheme="minorBidi"/>
                <w:sz w:val="24"/>
              </w:rPr>
              <w:t>Percentage of Population</w:t>
            </w:r>
          </w:p>
        </w:tc>
      </w:tr>
      <w:tr w:rsidR="00F142A3" w:rsidRPr="000C2400" w14:paraId="67C87166" w14:textId="77777777" w:rsidTr="004B58C3">
        <w:trPr>
          <w:gridAfter w:val="1"/>
          <w:wAfter w:w="30" w:type="dxa"/>
          <w:trHeight w:val="567"/>
          <w:jc w:val="center"/>
        </w:trPr>
        <w:tc>
          <w:tcPr>
            <w:tcW w:w="1191" w:type="dxa"/>
            <w:tcBorders>
              <w:bottom w:val="nil"/>
            </w:tcBorders>
            <w:shd w:val="clear" w:color="auto" w:fill="auto"/>
            <w:vAlign w:val="center"/>
          </w:tcPr>
          <w:p w14:paraId="6C7F5F1C" w14:textId="77777777" w:rsidR="000C2400" w:rsidRPr="007D064C" w:rsidRDefault="000C2400" w:rsidP="007D064C">
            <w:pPr>
              <w:keepNext/>
              <w:ind w:left="-78" w:right="538"/>
              <w:jc w:val="right"/>
              <w:rPr>
                <w:rFonts w:asciiTheme="minorBidi" w:hAnsiTheme="minorBidi"/>
                <w:b/>
                <w:bCs/>
                <w:sz w:val="24"/>
                <w:szCs w:val="24"/>
                <w:rtl/>
              </w:rPr>
            </w:pPr>
            <w:r w:rsidRPr="007D064C">
              <w:rPr>
                <w:rFonts w:asciiTheme="minorBidi" w:hAnsiTheme="minorBidi"/>
                <w:b/>
                <w:bCs/>
                <w:sz w:val="24"/>
                <w:szCs w:val="24"/>
                <w:rtl/>
              </w:rPr>
              <w:t>1</w:t>
            </w:r>
          </w:p>
        </w:tc>
        <w:tc>
          <w:tcPr>
            <w:tcW w:w="1191" w:type="dxa"/>
            <w:tcBorders>
              <w:bottom w:val="nil"/>
            </w:tcBorders>
            <w:shd w:val="clear" w:color="auto" w:fill="auto"/>
            <w:vAlign w:val="center"/>
          </w:tcPr>
          <w:p w14:paraId="6D70965A" w14:textId="1F779200" w:rsidR="000C2400" w:rsidRPr="007D064C" w:rsidRDefault="000C2400" w:rsidP="007D064C">
            <w:pPr>
              <w:keepNext/>
              <w:ind w:right="721"/>
              <w:jc w:val="right"/>
              <w:rPr>
                <w:rFonts w:asciiTheme="minorBidi" w:hAnsiTheme="minorBidi"/>
                <w:sz w:val="24"/>
                <w:szCs w:val="24"/>
                <w:rtl/>
              </w:rPr>
            </w:pPr>
            <w:r w:rsidRPr="0026394F">
              <w:rPr>
                <w:rFonts w:asciiTheme="minorBidi" w:hAnsiTheme="minorBidi"/>
                <w:sz w:val="24"/>
                <w:szCs w:val="24"/>
              </w:rPr>
              <w:t>18</w:t>
            </w:r>
          </w:p>
        </w:tc>
        <w:tc>
          <w:tcPr>
            <w:tcW w:w="1191" w:type="dxa"/>
            <w:tcBorders>
              <w:bottom w:val="nil"/>
            </w:tcBorders>
            <w:vAlign w:val="center"/>
          </w:tcPr>
          <w:p w14:paraId="1344EB2A" w14:textId="68B0AB67" w:rsidR="000C2400" w:rsidRPr="007D064C" w:rsidRDefault="000C2400" w:rsidP="000C2400">
            <w:pPr>
              <w:keepNext/>
              <w:ind w:right="170"/>
              <w:jc w:val="right"/>
              <w:rPr>
                <w:rFonts w:asciiTheme="minorBidi" w:hAnsiTheme="minorBidi"/>
                <w:sz w:val="24"/>
                <w:szCs w:val="24"/>
                <w:rtl/>
              </w:rPr>
            </w:pPr>
            <w:r w:rsidRPr="0026394F">
              <w:rPr>
                <w:rFonts w:asciiTheme="minorBidi" w:hAnsiTheme="minorBidi"/>
                <w:sz w:val="24"/>
                <w:szCs w:val="24"/>
              </w:rPr>
              <w:t>1–</w:t>
            </w:r>
            <w:r>
              <w:rPr>
                <w:rFonts w:asciiTheme="minorBidi" w:hAnsiTheme="minorBidi"/>
                <w:sz w:val="24"/>
                <w:szCs w:val="24"/>
              </w:rPr>
              <w:t>18</w:t>
            </w:r>
          </w:p>
        </w:tc>
        <w:tc>
          <w:tcPr>
            <w:tcW w:w="1191" w:type="dxa"/>
            <w:tcBorders>
              <w:top w:val="nil"/>
              <w:left w:val="nil"/>
              <w:bottom w:val="nil"/>
              <w:right w:val="single" w:sz="4" w:space="0" w:color="auto"/>
            </w:tcBorders>
            <w:shd w:val="clear" w:color="auto" w:fill="auto"/>
            <w:vAlign w:val="center"/>
          </w:tcPr>
          <w:p w14:paraId="55FE7675" w14:textId="3AD184CE" w:rsidR="000C2400" w:rsidRPr="007D064C" w:rsidRDefault="000C2400" w:rsidP="007D064C">
            <w:pPr>
              <w:jc w:val="right"/>
              <w:rPr>
                <w:rFonts w:ascii="Arial" w:hAnsi="Arial" w:cs="Arial"/>
                <w:color w:val="000000"/>
                <w:sz w:val="24"/>
                <w:szCs w:val="24"/>
              </w:rPr>
            </w:pPr>
            <w:r w:rsidRPr="004D3AA6">
              <w:rPr>
                <w:rFonts w:ascii="Arial" w:hAnsi="Arial" w:cs="Arial"/>
                <w:color w:val="000000"/>
                <w:sz w:val="24"/>
                <w:szCs w:val="24"/>
              </w:rPr>
              <w:t>179,462</w:t>
            </w:r>
          </w:p>
        </w:tc>
        <w:tc>
          <w:tcPr>
            <w:tcW w:w="1191" w:type="dxa"/>
            <w:tcBorders>
              <w:top w:val="nil"/>
              <w:left w:val="single" w:sz="4" w:space="0" w:color="auto"/>
              <w:bottom w:val="nil"/>
              <w:right w:val="nil"/>
            </w:tcBorders>
            <w:shd w:val="clear" w:color="auto" w:fill="auto"/>
            <w:vAlign w:val="center"/>
          </w:tcPr>
          <w:p w14:paraId="1E135C4B" w14:textId="12E09932" w:rsidR="000C2400" w:rsidRPr="007D064C" w:rsidRDefault="000C2400" w:rsidP="007D064C">
            <w:pPr>
              <w:ind w:right="322"/>
              <w:jc w:val="right"/>
              <w:rPr>
                <w:rFonts w:ascii="Arial" w:hAnsi="Arial"/>
                <w:color w:val="000000"/>
                <w:sz w:val="24"/>
              </w:rPr>
            </w:pPr>
            <w:r w:rsidRPr="000C2400">
              <w:rPr>
                <w:rFonts w:ascii="Arial" w:hAnsi="Arial" w:cs="Arial"/>
                <w:color w:val="000000"/>
                <w:sz w:val="24"/>
                <w:szCs w:val="24"/>
              </w:rPr>
              <w:t>1.95</w:t>
            </w:r>
          </w:p>
        </w:tc>
      </w:tr>
      <w:tr w:rsidR="00F142A3" w:rsidRPr="000C2400" w14:paraId="643690F1" w14:textId="77777777" w:rsidTr="004B58C3">
        <w:trPr>
          <w:gridAfter w:val="1"/>
          <w:wAfter w:w="30" w:type="dxa"/>
          <w:trHeight w:val="567"/>
          <w:jc w:val="center"/>
        </w:trPr>
        <w:tc>
          <w:tcPr>
            <w:tcW w:w="1191" w:type="dxa"/>
            <w:tcBorders>
              <w:top w:val="nil"/>
              <w:bottom w:val="nil"/>
            </w:tcBorders>
            <w:shd w:val="clear" w:color="auto" w:fill="auto"/>
            <w:vAlign w:val="center"/>
          </w:tcPr>
          <w:p w14:paraId="0FB35330"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2</w:t>
            </w:r>
          </w:p>
        </w:tc>
        <w:tc>
          <w:tcPr>
            <w:tcW w:w="1191" w:type="dxa"/>
            <w:tcBorders>
              <w:top w:val="nil"/>
              <w:bottom w:val="nil"/>
            </w:tcBorders>
            <w:shd w:val="clear" w:color="auto" w:fill="auto"/>
            <w:vAlign w:val="center"/>
          </w:tcPr>
          <w:p w14:paraId="6D8B18F3" w14:textId="15020582" w:rsidR="000C2400" w:rsidRPr="007D064C" w:rsidRDefault="000C2400" w:rsidP="007D064C">
            <w:pPr>
              <w:ind w:right="721"/>
              <w:jc w:val="right"/>
              <w:rPr>
                <w:rFonts w:asciiTheme="minorBidi" w:hAnsiTheme="minorBidi"/>
                <w:sz w:val="24"/>
                <w:szCs w:val="24"/>
                <w:rtl/>
              </w:rPr>
            </w:pPr>
            <w:r>
              <w:rPr>
                <w:rFonts w:asciiTheme="minorBidi" w:hAnsiTheme="minorBidi" w:hint="cs"/>
                <w:sz w:val="24"/>
                <w:szCs w:val="24"/>
                <w:rtl/>
              </w:rPr>
              <w:t>20</w:t>
            </w:r>
          </w:p>
        </w:tc>
        <w:tc>
          <w:tcPr>
            <w:tcW w:w="1191" w:type="dxa"/>
            <w:tcBorders>
              <w:top w:val="nil"/>
              <w:bottom w:val="nil"/>
            </w:tcBorders>
            <w:vAlign w:val="center"/>
          </w:tcPr>
          <w:p w14:paraId="0C490B2E" w14:textId="5D8199A3" w:rsidR="000C2400" w:rsidRPr="007D064C" w:rsidRDefault="000C2400" w:rsidP="000C2400">
            <w:pPr>
              <w:ind w:right="170"/>
              <w:jc w:val="right"/>
              <w:rPr>
                <w:rFonts w:asciiTheme="minorBidi" w:hAnsiTheme="minorBidi"/>
                <w:sz w:val="24"/>
                <w:szCs w:val="24"/>
                <w:rtl/>
              </w:rPr>
            </w:pPr>
            <w:r>
              <w:rPr>
                <w:rFonts w:asciiTheme="minorBidi" w:hAnsiTheme="minorBidi"/>
                <w:sz w:val="24"/>
                <w:szCs w:val="24"/>
              </w:rPr>
              <w:t>19</w:t>
            </w:r>
            <w:r w:rsidRPr="0026394F">
              <w:rPr>
                <w:rFonts w:asciiTheme="minorBidi" w:hAnsiTheme="minorBidi"/>
                <w:sz w:val="24"/>
                <w:szCs w:val="24"/>
              </w:rPr>
              <w:t>–</w:t>
            </w:r>
            <w:r>
              <w:rPr>
                <w:rFonts w:asciiTheme="minorBidi" w:hAnsiTheme="minorBidi"/>
                <w:sz w:val="24"/>
                <w:szCs w:val="24"/>
              </w:rPr>
              <w:t>3</w:t>
            </w:r>
            <w:r w:rsidRPr="0026394F">
              <w:rPr>
                <w:rFonts w:asciiTheme="minorBidi" w:hAnsiTheme="minorBidi"/>
                <w:sz w:val="24"/>
                <w:szCs w:val="24"/>
              </w:rPr>
              <w:t>8</w:t>
            </w:r>
          </w:p>
        </w:tc>
        <w:tc>
          <w:tcPr>
            <w:tcW w:w="1191" w:type="dxa"/>
            <w:tcBorders>
              <w:top w:val="nil"/>
              <w:left w:val="nil"/>
              <w:bottom w:val="nil"/>
              <w:right w:val="single" w:sz="4" w:space="0" w:color="auto"/>
            </w:tcBorders>
            <w:shd w:val="clear" w:color="auto" w:fill="auto"/>
            <w:vAlign w:val="center"/>
          </w:tcPr>
          <w:p w14:paraId="693EA293" w14:textId="72C59BA4" w:rsidR="000C2400" w:rsidRPr="007D064C" w:rsidRDefault="000C2400" w:rsidP="007D064C">
            <w:pPr>
              <w:jc w:val="right"/>
              <w:rPr>
                <w:rFonts w:ascii="Arial" w:hAnsi="Arial" w:cs="Arial"/>
                <w:color w:val="000000"/>
                <w:sz w:val="24"/>
                <w:szCs w:val="24"/>
              </w:rPr>
            </w:pPr>
            <w:r w:rsidRPr="004D3AA6">
              <w:rPr>
                <w:rFonts w:ascii="Arial" w:hAnsi="Arial" w:cs="Arial"/>
                <w:color w:val="000000"/>
                <w:sz w:val="24"/>
                <w:szCs w:val="24"/>
              </w:rPr>
              <w:t>278,679</w:t>
            </w:r>
          </w:p>
        </w:tc>
        <w:tc>
          <w:tcPr>
            <w:tcW w:w="1191" w:type="dxa"/>
            <w:tcBorders>
              <w:top w:val="nil"/>
              <w:left w:val="single" w:sz="4" w:space="0" w:color="auto"/>
              <w:bottom w:val="nil"/>
              <w:right w:val="nil"/>
            </w:tcBorders>
            <w:shd w:val="clear" w:color="auto" w:fill="auto"/>
            <w:vAlign w:val="center"/>
          </w:tcPr>
          <w:p w14:paraId="22EFCA74" w14:textId="21F0C6AF" w:rsidR="000C2400" w:rsidRPr="007D064C" w:rsidRDefault="000C2400" w:rsidP="007D064C">
            <w:pPr>
              <w:ind w:right="322"/>
              <w:jc w:val="right"/>
              <w:rPr>
                <w:rFonts w:ascii="Arial" w:hAnsi="Arial"/>
                <w:color w:val="000000"/>
                <w:sz w:val="24"/>
              </w:rPr>
            </w:pPr>
            <w:r w:rsidRPr="000C2400">
              <w:rPr>
                <w:rFonts w:ascii="Arial" w:hAnsi="Arial" w:cs="Arial"/>
                <w:color w:val="000000"/>
                <w:sz w:val="24"/>
                <w:szCs w:val="24"/>
              </w:rPr>
              <w:t>3.02</w:t>
            </w:r>
          </w:p>
        </w:tc>
      </w:tr>
      <w:tr w:rsidR="00F142A3" w:rsidRPr="000C2400" w14:paraId="44D0CAE2" w14:textId="77777777" w:rsidTr="004B58C3">
        <w:trPr>
          <w:gridAfter w:val="1"/>
          <w:wAfter w:w="30" w:type="dxa"/>
          <w:trHeight w:val="567"/>
          <w:jc w:val="center"/>
        </w:trPr>
        <w:tc>
          <w:tcPr>
            <w:tcW w:w="1191" w:type="dxa"/>
            <w:tcBorders>
              <w:top w:val="nil"/>
              <w:bottom w:val="nil"/>
            </w:tcBorders>
            <w:shd w:val="clear" w:color="auto" w:fill="auto"/>
            <w:vAlign w:val="center"/>
          </w:tcPr>
          <w:p w14:paraId="1C634E5C"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3</w:t>
            </w:r>
          </w:p>
        </w:tc>
        <w:tc>
          <w:tcPr>
            <w:tcW w:w="1191" w:type="dxa"/>
            <w:tcBorders>
              <w:top w:val="nil"/>
              <w:bottom w:val="nil"/>
            </w:tcBorders>
            <w:shd w:val="clear" w:color="auto" w:fill="auto"/>
            <w:vAlign w:val="center"/>
          </w:tcPr>
          <w:p w14:paraId="28C1ECF9" w14:textId="5A583038" w:rsidR="000C2400" w:rsidRPr="007D064C" w:rsidRDefault="000C2400" w:rsidP="007D064C">
            <w:pPr>
              <w:ind w:right="721"/>
              <w:jc w:val="right"/>
              <w:rPr>
                <w:rFonts w:asciiTheme="minorBidi" w:hAnsiTheme="minorBidi"/>
                <w:sz w:val="24"/>
                <w:szCs w:val="24"/>
                <w:rtl/>
              </w:rPr>
            </w:pPr>
            <w:r>
              <w:rPr>
                <w:rFonts w:asciiTheme="minorBidi" w:hAnsiTheme="minorBidi" w:hint="cs"/>
                <w:sz w:val="24"/>
                <w:szCs w:val="24"/>
                <w:rtl/>
              </w:rPr>
              <w:t>4</w:t>
            </w:r>
            <w:r w:rsidRPr="0026394F">
              <w:rPr>
                <w:rFonts w:asciiTheme="minorBidi" w:hAnsiTheme="minorBidi"/>
                <w:sz w:val="24"/>
                <w:szCs w:val="24"/>
                <w:rtl/>
              </w:rPr>
              <w:t>7</w:t>
            </w:r>
          </w:p>
        </w:tc>
        <w:tc>
          <w:tcPr>
            <w:tcW w:w="1191" w:type="dxa"/>
            <w:tcBorders>
              <w:top w:val="nil"/>
              <w:bottom w:val="nil"/>
            </w:tcBorders>
            <w:vAlign w:val="center"/>
          </w:tcPr>
          <w:p w14:paraId="32ACE639" w14:textId="43A28B2D" w:rsidR="000C2400" w:rsidRPr="007D064C" w:rsidRDefault="000C2400" w:rsidP="000C2400">
            <w:pPr>
              <w:ind w:right="170"/>
              <w:jc w:val="right"/>
              <w:rPr>
                <w:rFonts w:asciiTheme="minorBidi" w:hAnsiTheme="minorBidi"/>
                <w:sz w:val="24"/>
                <w:szCs w:val="24"/>
                <w:rtl/>
              </w:rPr>
            </w:pPr>
            <w:r>
              <w:rPr>
                <w:rFonts w:asciiTheme="minorBidi" w:hAnsiTheme="minorBidi"/>
                <w:sz w:val="24"/>
                <w:szCs w:val="24"/>
              </w:rPr>
              <w:t>3</w:t>
            </w:r>
            <w:r w:rsidRPr="0026394F">
              <w:rPr>
                <w:rFonts w:asciiTheme="minorBidi" w:hAnsiTheme="minorBidi"/>
                <w:sz w:val="24"/>
                <w:szCs w:val="24"/>
              </w:rPr>
              <w:t>9–</w:t>
            </w:r>
            <w:r>
              <w:rPr>
                <w:rFonts w:asciiTheme="minorBidi" w:hAnsiTheme="minorBidi"/>
                <w:sz w:val="24"/>
                <w:szCs w:val="24"/>
              </w:rPr>
              <w:t>8</w:t>
            </w:r>
            <w:r w:rsidRPr="0026394F">
              <w:rPr>
                <w:rFonts w:asciiTheme="minorBidi" w:hAnsiTheme="minorBidi"/>
                <w:sz w:val="24"/>
                <w:szCs w:val="24"/>
              </w:rPr>
              <w:t>5</w:t>
            </w:r>
          </w:p>
        </w:tc>
        <w:tc>
          <w:tcPr>
            <w:tcW w:w="1191" w:type="dxa"/>
            <w:tcBorders>
              <w:top w:val="nil"/>
              <w:left w:val="nil"/>
              <w:bottom w:val="nil"/>
              <w:right w:val="single" w:sz="4" w:space="0" w:color="auto"/>
            </w:tcBorders>
            <w:shd w:val="clear" w:color="auto" w:fill="auto"/>
            <w:vAlign w:val="center"/>
          </w:tcPr>
          <w:p w14:paraId="2E08E369" w14:textId="76F46CFB" w:rsidR="000C2400" w:rsidRPr="007D064C" w:rsidRDefault="000C2400" w:rsidP="007D064C">
            <w:pPr>
              <w:jc w:val="right"/>
              <w:rPr>
                <w:rFonts w:ascii="Arial" w:hAnsi="Arial" w:cs="Arial"/>
                <w:color w:val="000000"/>
                <w:sz w:val="24"/>
                <w:szCs w:val="24"/>
              </w:rPr>
            </w:pPr>
            <w:r w:rsidRPr="004D3AA6">
              <w:rPr>
                <w:rFonts w:ascii="Arial" w:hAnsi="Arial" w:cs="Arial"/>
                <w:color w:val="000000"/>
                <w:sz w:val="24"/>
                <w:szCs w:val="24"/>
              </w:rPr>
              <w:t>607,388</w:t>
            </w:r>
          </w:p>
        </w:tc>
        <w:tc>
          <w:tcPr>
            <w:tcW w:w="1191" w:type="dxa"/>
            <w:tcBorders>
              <w:top w:val="nil"/>
              <w:left w:val="single" w:sz="4" w:space="0" w:color="auto"/>
              <w:bottom w:val="nil"/>
              <w:right w:val="nil"/>
            </w:tcBorders>
            <w:shd w:val="clear" w:color="auto" w:fill="auto"/>
            <w:vAlign w:val="center"/>
          </w:tcPr>
          <w:p w14:paraId="260910A8" w14:textId="1A05CADA" w:rsidR="000C2400" w:rsidRPr="007D064C" w:rsidRDefault="000C2400" w:rsidP="007D064C">
            <w:pPr>
              <w:ind w:right="322"/>
              <w:jc w:val="right"/>
              <w:rPr>
                <w:rFonts w:ascii="Arial" w:hAnsi="Arial"/>
                <w:color w:val="000000"/>
                <w:sz w:val="24"/>
              </w:rPr>
            </w:pPr>
            <w:r w:rsidRPr="000C2400">
              <w:rPr>
                <w:rFonts w:ascii="Arial" w:hAnsi="Arial" w:cs="Arial"/>
                <w:color w:val="000000"/>
                <w:sz w:val="24"/>
                <w:szCs w:val="24"/>
              </w:rPr>
              <w:t>6.59</w:t>
            </w:r>
          </w:p>
        </w:tc>
      </w:tr>
      <w:tr w:rsidR="00F142A3" w:rsidRPr="000C2400" w14:paraId="7BB01B4E" w14:textId="77777777" w:rsidTr="004B58C3">
        <w:trPr>
          <w:gridAfter w:val="1"/>
          <w:wAfter w:w="30" w:type="dxa"/>
          <w:trHeight w:val="227"/>
          <w:jc w:val="center"/>
        </w:trPr>
        <w:tc>
          <w:tcPr>
            <w:tcW w:w="1191" w:type="dxa"/>
            <w:tcBorders>
              <w:top w:val="nil"/>
              <w:bottom w:val="nil"/>
            </w:tcBorders>
            <w:shd w:val="clear" w:color="auto" w:fill="auto"/>
            <w:vAlign w:val="center"/>
          </w:tcPr>
          <w:p w14:paraId="19040F61"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4</w:t>
            </w:r>
          </w:p>
        </w:tc>
        <w:tc>
          <w:tcPr>
            <w:tcW w:w="1191" w:type="dxa"/>
            <w:tcBorders>
              <w:top w:val="nil"/>
              <w:bottom w:val="nil"/>
            </w:tcBorders>
            <w:shd w:val="clear" w:color="auto" w:fill="auto"/>
            <w:vAlign w:val="center"/>
          </w:tcPr>
          <w:p w14:paraId="4BCEB675" w14:textId="29203393" w:rsidR="000C2400" w:rsidRPr="007D064C" w:rsidRDefault="000C2400" w:rsidP="007D064C">
            <w:pPr>
              <w:ind w:right="721"/>
              <w:jc w:val="right"/>
              <w:rPr>
                <w:rFonts w:asciiTheme="minorBidi" w:hAnsiTheme="minorBidi"/>
                <w:sz w:val="24"/>
                <w:szCs w:val="24"/>
                <w:rtl/>
              </w:rPr>
            </w:pPr>
            <w:r>
              <w:rPr>
                <w:rFonts w:asciiTheme="minorBidi" w:hAnsiTheme="minorBidi" w:hint="cs"/>
                <w:sz w:val="24"/>
                <w:szCs w:val="24"/>
                <w:rtl/>
              </w:rPr>
              <w:t>39</w:t>
            </w:r>
          </w:p>
        </w:tc>
        <w:tc>
          <w:tcPr>
            <w:tcW w:w="1191" w:type="dxa"/>
            <w:tcBorders>
              <w:top w:val="nil"/>
              <w:bottom w:val="nil"/>
            </w:tcBorders>
            <w:vAlign w:val="center"/>
          </w:tcPr>
          <w:p w14:paraId="543A8583" w14:textId="28C70C35" w:rsidR="000C2400" w:rsidRPr="007D064C" w:rsidRDefault="000C2400" w:rsidP="000C2400">
            <w:pPr>
              <w:ind w:right="170"/>
              <w:jc w:val="right"/>
              <w:rPr>
                <w:rFonts w:asciiTheme="minorBidi" w:hAnsiTheme="minorBidi"/>
                <w:sz w:val="24"/>
                <w:szCs w:val="24"/>
                <w:rtl/>
              </w:rPr>
            </w:pPr>
            <w:r>
              <w:rPr>
                <w:rFonts w:asciiTheme="minorBidi" w:hAnsiTheme="minorBidi"/>
                <w:sz w:val="24"/>
                <w:szCs w:val="24"/>
              </w:rPr>
              <w:t>8</w:t>
            </w:r>
            <w:r w:rsidRPr="0026394F">
              <w:rPr>
                <w:rFonts w:asciiTheme="minorBidi" w:hAnsiTheme="minorBidi"/>
                <w:sz w:val="24"/>
                <w:szCs w:val="24"/>
              </w:rPr>
              <w:t>6–12</w:t>
            </w:r>
            <w:r>
              <w:rPr>
                <w:rFonts w:asciiTheme="minorBidi" w:hAnsiTheme="minorBidi"/>
                <w:sz w:val="24"/>
                <w:szCs w:val="24"/>
              </w:rPr>
              <w:t>4</w:t>
            </w:r>
            <w:r w:rsidRPr="0026394F">
              <w:rPr>
                <w:rFonts w:asciiTheme="minorBidi" w:hAnsiTheme="minorBidi"/>
                <w:sz w:val="24"/>
                <w:szCs w:val="24"/>
              </w:rPr>
              <w:t xml:space="preserve"> </w:t>
            </w:r>
          </w:p>
        </w:tc>
        <w:tc>
          <w:tcPr>
            <w:tcW w:w="1191" w:type="dxa"/>
            <w:tcBorders>
              <w:top w:val="nil"/>
              <w:left w:val="nil"/>
              <w:bottom w:val="nil"/>
              <w:right w:val="single" w:sz="4" w:space="0" w:color="auto"/>
            </w:tcBorders>
            <w:shd w:val="clear" w:color="auto" w:fill="auto"/>
            <w:vAlign w:val="center"/>
          </w:tcPr>
          <w:p w14:paraId="6420D8B7" w14:textId="3EAA0021" w:rsidR="000C2400" w:rsidRPr="007D064C" w:rsidRDefault="000C2400" w:rsidP="007D064C">
            <w:pPr>
              <w:jc w:val="right"/>
              <w:rPr>
                <w:rFonts w:ascii="Arial" w:hAnsi="Arial" w:cs="Arial"/>
                <w:color w:val="000000"/>
                <w:sz w:val="24"/>
                <w:szCs w:val="24"/>
              </w:rPr>
            </w:pPr>
            <w:r w:rsidRPr="004D3AA6">
              <w:rPr>
                <w:rFonts w:ascii="Arial" w:hAnsi="Arial" w:cs="Arial"/>
                <w:color w:val="000000"/>
                <w:sz w:val="24"/>
                <w:szCs w:val="24"/>
              </w:rPr>
              <w:t>769,119</w:t>
            </w:r>
          </w:p>
        </w:tc>
        <w:tc>
          <w:tcPr>
            <w:tcW w:w="1191" w:type="dxa"/>
            <w:tcBorders>
              <w:top w:val="nil"/>
              <w:left w:val="single" w:sz="4" w:space="0" w:color="auto"/>
              <w:bottom w:val="nil"/>
              <w:right w:val="nil"/>
            </w:tcBorders>
            <w:shd w:val="clear" w:color="auto" w:fill="auto"/>
            <w:vAlign w:val="center"/>
          </w:tcPr>
          <w:p w14:paraId="5B26D46C" w14:textId="1AD3D32C" w:rsidR="000C2400" w:rsidRPr="007D064C" w:rsidRDefault="000C2400" w:rsidP="007D064C">
            <w:pPr>
              <w:ind w:right="322"/>
              <w:jc w:val="right"/>
              <w:rPr>
                <w:rFonts w:ascii="Arial" w:hAnsi="Arial"/>
                <w:color w:val="000000"/>
                <w:sz w:val="24"/>
              </w:rPr>
            </w:pPr>
            <w:r w:rsidRPr="007D064C">
              <w:rPr>
                <w:rFonts w:ascii="Arial" w:hAnsi="Arial"/>
                <w:color w:val="000000"/>
                <w:sz w:val="24"/>
              </w:rPr>
              <w:t>8.</w:t>
            </w:r>
            <w:r w:rsidRPr="000C2400">
              <w:rPr>
                <w:rFonts w:ascii="Arial" w:hAnsi="Arial" w:cs="Arial"/>
                <w:color w:val="000000"/>
                <w:sz w:val="24"/>
                <w:szCs w:val="24"/>
              </w:rPr>
              <w:t>35</w:t>
            </w:r>
          </w:p>
        </w:tc>
      </w:tr>
      <w:tr w:rsidR="00F142A3" w:rsidRPr="000C2400" w14:paraId="12E95C73" w14:textId="77777777" w:rsidTr="004B58C3">
        <w:trPr>
          <w:gridAfter w:val="1"/>
          <w:wAfter w:w="30" w:type="dxa"/>
          <w:trHeight w:val="567"/>
          <w:jc w:val="center"/>
        </w:trPr>
        <w:tc>
          <w:tcPr>
            <w:tcW w:w="1191" w:type="dxa"/>
            <w:tcBorders>
              <w:top w:val="nil"/>
              <w:bottom w:val="nil"/>
            </w:tcBorders>
            <w:shd w:val="clear" w:color="auto" w:fill="auto"/>
            <w:vAlign w:val="center"/>
          </w:tcPr>
          <w:p w14:paraId="2E148B01"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5</w:t>
            </w:r>
          </w:p>
        </w:tc>
        <w:tc>
          <w:tcPr>
            <w:tcW w:w="1191" w:type="dxa"/>
            <w:tcBorders>
              <w:top w:val="nil"/>
              <w:bottom w:val="nil"/>
            </w:tcBorders>
            <w:shd w:val="clear" w:color="auto" w:fill="auto"/>
            <w:vAlign w:val="center"/>
          </w:tcPr>
          <w:p w14:paraId="65256F04" w14:textId="31FEFCD1" w:rsidR="000C2400" w:rsidRPr="007D064C" w:rsidRDefault="000C2400" w:rsidP="007D064C">
            <w:pPr>
              <w:ind w:right="721"/>
              <w:jc w:val="right"/>
              <w:rPr>
                <w:rFonts w:asciiTheme="minorBidi" w:hAnsiTheme="minorBidi"/>
                <w:sz w:val="24"/>
                <w:szCs w:val="24"/>
                <w:rtl/>
              </w:rPr>
            </w:pPr>
            <w:r>
              <w:rPr>
                <w:rFonts w:asciiTheme="minorBidi" w:hAnsiTheme="minorBidi"/>
                <w:sz w:val="24"/>
                <w:szCs w:val="24"/>
              </w:rPr>
              <w:t>41</w:t>
            </w:r>
          </w:p>
        </w:tc>
        <w:tc>
          <w:tcPr>
            <w:tcW w:w="1191" w:type="dxa"/>
            <w:tcBorders>
              <w:top w:val="nil"/>
              <w:bottom w:val="nil"/>
            </w:tcBorders>
            <w:vAlign w:val="center"/>
          </w:tcPr>
          <w:p w14:paraId="6820DB7F" w14:textId="7227096F" w:rsidR="000C2400" w:rsidRPr="007D064C" w:rsidRDefault="000C2400" w:rsidP="000C2400">
            <w:pPr>
              <w:ind w:right="170"/>
              <w:jc w:val="right"/>
              <w:rPr>
                <w:rFonts w:asciiTheme="minorBidi" w:hAnsiTheme="minorBidi"/>
                <w:sz w:val="24"/>
                <w:szCs w:val="24"/>
                <w:rtl/>
              </w:rPr>
            </w:pPr>
            <w:r w:rsidRPr="0026394F">
              <w:rPr>
                <w:rFonts w:asciiTheme="minorBidi" w:hAnsiTheme="minorBidi"/>
                <w:sz w:val="24"/>
                <w:szCs w:val="24"/>
              </w:rPr>
              <w:t>12</w:t>
            </w:r>
            <w:r>
              <w:rPr>
                <w:rFonts w:asciiTheme="minorBidi" w:hAnsiTheme="minorBidi"/>
                <w:sz w:val="24"/>
                <w:szCs w:val="24"/>
              </w:rPr>
              <w:t>5</w:t>
            </w:r>
            <w:r w:rsidRPr="0026394F">
              <w:rPr>
                <w:rFonts w:asciiTheme="minorBidi" w:hAnsiTheme="minorBidi"/>
                <w:sz w:val="24"/>
                <w:szCs w:val="24"/>
              </w:rPr>
              <w:t>–1</w:t>
            </w:r>
            <w:r>
              <w:rPr>
                <w:rFonts w:asciiTheme="minorBidi" w:hAnsiTheme="minorBidi"/>
                <w:sz w:val="24"/>
                <w:szCs w:val="24"/>
              </w:rPr>
              <w:t>65</w:t>
            </w:r>
            <w:r w:rsidRPr="0026394F">
              <w:rPr>
                <w:rFonts w:asciiTheme="minorBidi" w:hAnsiTheme="minorBidi"/>
                <w:sz w:val="24"/>
                <w:szCs w:val="24"/>
              </w:rPr>
              <w:t xml:space="preserve"> </w:t>
            </w:r>
          </w:p>
        </w:tc>
        <w:tc>
          <w:tcPr>
            <w:tcW w:w="1191" w:type="dxa"/>
            <w:tcBorders>
              <w:top w:val="nil"/>
              <w:left w:val="nil"/>
              <w:bottom w:val="nil"/>
              <w:right w:val="single" w:sz="4" w:space="0" w:color="auto"/>
            </w:tcBorders>
            <w:shd w:val="clear" w:color="auto" w:fill="auto"/>
            <w:vAlign w:val="center"/>
          </w:tcPr>
          <w:p w14:paraId="4F917851" w14:textId="0CC6982A" w:rsidR="000C2400" w:rsidRPr="007D064C" w:rsidRDefault="000C2400" w:rsidP="007D064C">
            <w:pPr>
              <w:jc w:val="right"/>
              <w:rPr>
                <w:rFonts w:ascii="Arial" w:hAnsi="Arial" w:cs="Arial"/>
                <w:color w:val="000000"/>
                <w:sz w:val="24"/>
                <w:szCs w:val="24"/>
              </w:rPr>
            </w:pPr>
            <w:r w:rsidRPr="007D064C">
              <w:rPr>
                <w:rFonts w:ascii="Arial" w:hAnsi="Arial" w:cs="Arial"/>
                <w:color w:val="000000"/>
                <w:sz w:val="24"/>
                <w:szCs w:val="24"/>
              </w:rPr>
              <w:t>1,</w:t>
            </w:r>
            <w:r w:rsidRPr="004D3AA6">
              <w:rPr>
                <w:rFonts w:ascii="Arial" w:hAnsi="Arial" w:cs="Arial"/>
                <w:color w:val="000000"/>
                <w:sz w:val="24"/>
                <w:szCs w:val="24"/>
              </w:rPr>
              <w:t>302,938</w:t>
            </w:r>
          </w:p>
        </w:tc>
        <w:tc>
          <w:tcPr>
            <w:tcW w:w="1191" w:type="dxa"/>
            <w:tcBorders>
              <w:top w:val="nil"/>
              <w:left w:val="single" w:sz="4" w:space="0" w:color="auto"/>
              <w:bottom w:val="nil"/>
              <w:right w:val="nil"/>
            </w:tcBorders>
            <w:shd w:val="clear" w:color="auto" w:fill="auto"/>
            <w:vAlign w:val="center"/>
          </w:tcPr>
          <w:p w14:paraId="1AC1ABD2" w14:textId="39C83E27" w:rsidR="000C2400" w:rsidRPr="007D064C" w:rsidRDefault="000C2400" w:rsidP="007D064C">
            <w:pPr>
              <w:ind w:right="322"/>
              <w:jc w:val="right"/>
              <w:rPr>
                <w:rFonts w:ascii="Arial" w:hAnsi="Arial"/>
                <w:color w:val="000000"/>
                <w:sz w:val="24"/>
              </w:rPr>
            </w:pPr>
            <w:r w:rsidRPr="000C2400">
              <w:rPr>
                <w:rFonts w:ascii="Arial" w:hAnsi="Arial" w:cs="Arial"/>
                <w:color w:val="000000"/>
                <w:sz w:val="24"/>
                <w:szCs w:val="24"/>
              </w:rPr>
              <w:t>14.14</w:t>
            </w:r>
          </w:p>
        </w:tc>
      </w:tr>
      <w:tr w:rsidR="00F142A3" w:rsidRPr="000C2400" w14:paraId="104FB9D7" w14:textId="77777777" w:rsidTr="004B58C3">
        <w:trPr>
          <w:gridAfter w:val="1"/>
          <w:wAfter w:w="30" w:type="dxa"/>
          <w:trHeight w:val="567"/>
          <w:jc w:val="center"/>
        </w:trPr>
        <w:tc>
          <w:tcPr>
            <w:tcW w:w="1191" w:type="dxa"/>
            <w:tcBorders>
              <w:top w:val="nil"/>
              <w:bottom w:val="nil"/>
            </w:tcBorders>
            <w:shd w:val="clear" w:color="auto" w:fill="auto"/>
            <w:vAlign w:val="center"/>
          </w:tcPr>
          <w:p w14:paraId="1D8C745B"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6</w:t>
            </w:r>
          </w:p>
        </w:tc>
        <w:tc>
          <w:tcPr>
            <w:tcW w:w="1191" w:type="dxa"/>
            <w:tcBorders>
              <w:top w:val="nil"/>
              <w:bottom w:val="nil"/>
            </w:tcBorders>
            <w:shd w:val="clear" w:color="auto" w:fill="auto"/>
            <w:vAlign w:val="center"/>
          </w:tcPr>
          <w:p w14:paraId="305892F6" w14:textId="4CEDD3C0" w:rsidR="000C2400" w:rsidRPr="007D064C" w:rsidRDefault="000C2400" w:rsidP="007D064C">
            <w:pPr>
              <w:ind w:right="721"/>
              <w:jc w:val="right"/>
              <w:rPr>
                <w:rFonts w:asciiTheme="minorBidi" w:hAnsiTheme="minorBidi"/>
                <w:sz w:val="24"/>
                <w:szCs w:val="24"/>
                <w:rtl/>
              </w:rPr>
            </w:pPr>
            <w:r>
              <w:rPr>
                <w:rFonts w:asciiTheme="minorBidi" w:hAnsiTheme="minorBidi"/>
                <w:sz w:val="24"/>
                <w:szCs w:val="24"/>
              </w:rPr>
              <w:t>45</w:t>
            </w:r>
          </w:p>
        </w:tc>
        <w:tc>
          <w:tcPr>
            <w:tcW w:w="1191" w:type="dxa"/>
            <w:tcBorders>
              <w:top w:val="nil"/>
              <w:bottom w:val="nil"/>
            </w:tcBorders>
            <w:vAlign w:val="center"/>
          </w:tcPr>
          <w:p w14:paraId="510AC148" w14:textId="022B0F97" w:rsidR="000C2400" w:rsidRPr="007D064C" w:rsidRDefault="000C2400" w:rsidP="000C2400">
            <w:pPr>
              <w:ind w:right="170"/>
              <w:jc w:val="right"/>
              <w:rPr>
                <w:rFonts w:asciiTheme="minorBidi" w:hAnsiTheme="minorBidi"/>
                <w:sz w:val="24"/>
                <w:szCs w:val="24"/>
                <w:rtl/>
              </w:rPr>
            </w:pPr>
            <w:r w:rsidRPr="0026394F">
              <w:rPr>
                <w:rFonts w:asciiTheme="minorBidi" w:hAnsiTheme="minorBidi"/>
                <w:sz w:val="24"/>
                <w:szCs w:val="24"/>
              </w:rPr>
              <w:t>1</w:t>
            </w:r>
            <w:r>
              <w:rPr>
                <w:rFonts w:asciiTheme="minorBidi" w:hAnsiTheme="minorBidi"/>
                <w:sz w:val="24"/>
                <w:szCs w:val="24"/>
              </w:rPr>
              <w:t>66</w:t>
            </w:r>
            <w:r w:rsidRPr="0026394F">
              <w:rPr>
                <w:rFonts w:asciiTheme="minorBidi" w:hAnsiTheme="minorBidi"/>
                <w:sz w:val="24"/>
                <w:szCs w:val="24"/>
              </w:rPr>
              <w:t>–2</w:t>
            </w:r>
            <w:r>
              <w:rPr>
                <w:rFonts w:asciiTheme="minorBidi" w:hAnsiTheme="minorBidi"/>
                <w:sz w:val="24"/>
                <w:szCs w:val="24"/>
              </w:rPr>
              <w:t>10</w:t>
            </w:r>
          </w:p>
        </w:tc>
        <w:tc>
          <w:tcPr>
            <w:tcW w:w="1191" w:type="dxa"/>
            <w:tcBorders>
              <w:top w:val="nil"/>
              <w:left w:val="nil"/>
              <w:bottom w:val="nil"/>
              <w:right w:val="single" w:sz="4" w:space="0" w:color="auto"/>
            </w:tcBorders>
            <w:shd w:val="clear" w:color="auto" w:fill="auto"/>
            <w:vAlign w:val="center"/>
          </w:tcPr>
          <w:p w14:paraId="24A5BFCC" w14:textId="0E8C09F9" w:rsidR="000C2400" w:rsidRPr="007D064C" w:rsidRDefault="000C2400" w:rsidP="007D064C">
            <w:pPr>
              <w:jc w:val="right"/>
              <w:rPr>
                <w:rFonts w:ascii="Arial" w:hAnsi="Arial" w:cs="Arial"/>
                <w:color w:val="000000"/>
                <w:sz w:val="24"/>
                <w:szCs w:val="24"/>
              </w:rPr>
            </w:pPr>
            <w:r w:rsidRPr="004D3AA6">
              <w:rPr>
                <w:rFonts w:ascii="Arial" w:hAnsi="Arial" w:cs="Arial"/>
                <w:color w:val="000000"/>
                <w:sz w:val="24"/>
                <w:szCs w:val="24"/>
              </w:rPr>
              <w:t>1,638,513</w:t>
            </w:r>
          </w:p>
        </w:tc>
        <w:tc>
          <w:tcPr>
            <w:tcW w:w="1191" w:type="dxa"/>
            <w:tcBorders>
              <w:top w:val="nil"/>
              <w:left w:val="single" w:sz="4" w:space="0" w:color="auto"/>
              <w:bottom w:val="nil"/>
              <w:right w:val="nil"/>
            </w:tcBorders>
            <w:shd w:val="clear" w:color="auto" w:fill="auto"/>
            <w:vAlign w:val="center"/>
          </w:tcPr>
          <w:p w14:paraId="05BBCA62" w14:textId="2D67426A" w:rsidR="000C2400" w:rsidRPr="007D064C" w:rsidRDefault="000C2400" w:rsidP="007D064C">
            <w:pPr>
              <w:ind w:right="322"/>
              <w:jc w:val="right"/>
              <w:rPr>
                <w:rFonts w:ascii="Arial" w:hAnsi="Arial"/>
                <w:color w:val="000000"/>
                <w:sz w:val="24"/>
              </w:rPr>
            </w:pPr>
            <w:r w:rsidRPr="000C2400">
              <w:rPr>
                <w:rFonts w:ascii="Arial" w:hAnsi="Arial" w:cs="Arial"/>
                <w:color w:val="000000"/>
                <w:sz w:val="24"/>
                <w:szCs w:val="24"/>
              </w:rPr>
              <w:t>17.78</w:t>
            </w:r>
          </w:p>
        </w:tc>
      </w:tr>
      <w:tr w:rsidR="00F142A3" w:rsidRPr="000C2400" w14:paraId="48F8F008" w14:textId="77777777" w:rsidTr="004B58C3">
        <w:trPr>
          <w:gridAfter w:val="1"/>
          <w:wAfter w:w="30" w:type="dxa"/>
          <w:trHeight w:val="567"/>
          <w:jc w:val="center"/>
        </w:trPr>
        <w:tc>
          <w:tcPr>
            <w:tcW w:w="1191" w:type="dxa"/>
            <w:tcBorders>
              <w:top w:val="nil"/>
              <w:bottom w:val="nil"/>
            </w:tcBorders>
            <w:shd w:val="clear" w:color="auto" w:fill="auto"/>
            <w:vAlign w:val="center"/>
          </w:tcPr>
          <w:p w14:paraId="5D993556"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7</w:t>
            </w:r>
          </w:p>
        </w:tc>
        <w:tc>
          <w:tcPr>
            <w:tcW w:w="1191" w:type="dxa"/>
            <w:tcBorders>
              <w:top w:val="nil"/>
              <w:bottom w:val="nil"/>
            </w:tcBorders>
            <w:shd w:val="clear" w:color="auto" w:fill="auto"/>
            <w:vAlign w:val="center"/>
          </w:tcPr>
          <w:p w14:paraId="59A001FA" w14:textId="2FA37ED5" w:rsidR="000C2400" w:rsidRPr="007D064C" w:rsidRDefault="000C2400" w:rsidP="007D064C">
            <w:pPr>
              <w:ind w:right="721"/>
              <w:jc w:val="right"/>
              <w:rPr>
                <w:rFonts w:asciiTheme="minorBidi" w:hAnsiTheme="minorBidi"/>
                <w:sz w:val="24"/>
                <w:szCs w:val="24"/>
                <w:lang w:val="en-US"/>
              </w:rPr>
            </w:pPr>
            <w:r>
              <w:rPr>
                <w:rFonts w:asciiTheme="minorBidi" w:hAnsiTheme="minorBidi"/>
                <w:sz w:val="24"/>
                <w:szCs w:val="24"/>
              </w:rPr>
              <w:t>15</w:t>
            </w:r>
          </w:p>
        </w:tc>
        <w:tc>
          <w:tcPr>
            <w:tcW w:w="1191" w:type="dxa"/>
            <w:tcBorders>
              <w:top w:val="nil"/>
              <w:bottom w:val="nil"/>
            </w:tcBorders>
            <w:vAlign w:val="center"/>
          </w:tcPr>
          <w:p w14:paraId="6A78B693" w14:textId="63E9FDD2" w:rsidR="000C2400" w:rsidRPr="007D064C" w:rsidRDefault="000C2400" w:rsidP="000C2400">
            <w:pPr>
              <w:ind w:right="170"/>
              <w:jc w:val="right"/>
              <w:rPr>
                <w:rFonts w:asciiTheme="minorBidi" w:hAnsiTheme="minorBidi"/>
                <w:sz w:val="24"/>
                <w:szCs w:val="24"/>
                <w:rtl/>
              </w:rPr>
            </w:pPr>
            <w:r w:rsidRPr="0026394F">
              <w:rPr>
                <w:rFonts w:asciiTheme="minorBidi" w:hAnsiTheme="minorBidi"/>
                <w:sz w:val="24"/>
                <w:szCs w:val="24"/>
              </w:rPr>
              <w:t>2</w:t>
            </w:r>
            <w:r>
              <w:rPr>
                <w:rFonts w:asciiTheme="minorBidi" w:hAnsiTheme="minorBidi"/>
                <w:sz w:val="24"/>
                <w:szCs w:val="24"/>
              </w:rPr>
              <w:t>11</w:t>
            </w:r>
            <w:r w:rsidRPr="0026394F">
              <w:rPr>
                <w:rFonts w:asciiTheme="minorBidi" w:hAnsiTheme="minorBidi"/>
                <w:sz w:val="24"/>
                <w:szCs w:val="24"/>
              </w:rPr>
              <w:t>–22</w:t>
            </w:r>
            <w:r>
              <w:rPr>
                <w:rFonts w:asciiTheme="minorBidi" w:hAnsiTheme="minorBidi"/>
                <w:sz w:val="24"/>
                <w:szCs w:val="24"/>
              </w:rPr>
              <w:t>5</w:t>
            </w:r>
          </w:p>
        </w:tc>
        <w:tc>
          <w:tcPr>
            <w:tcW w:w="1191" w:type="dxa"/>
            <w:tcBorders>
              <w:top w:val="nil"/>
              <w:left w:val="nil"/>
              <w:bottom w:val="nil"/>
              <w:right w:val="single" w:sz="4" w:space="0" w:color="auto"/>
            </w:tcBorders>
            <w:shd w:val="clear" w:color="auto" w:fill="auto"/>
            <w:vAlign w:val="center"/>
          </w:tcPr>
          <w:p w14:paraId="34010EAD" w14:textId="3DB58C9C" w:rsidR="000C2400" w:rsidRPr="007D064C" w:rsidRDefault="000C2400" w:rsidP="007D064C">
            <w:pPr>
              <w:jc w:val="right"/>
              <w:rPr>
                <w:rFonts w:ascii="Arial" w:hAnsi="Arial" w:cs="Arial"/>
                <w:color w:val="000000"/>
                <w:sz w:val="24"/>
                <w:szCs w:val="24"/>
              </w:rPr>
            </w:pPr>
            <w:r w:rsidRPr="004D3AA6">
              <w:rPr>
                <w:rFonts w:ascii="Arial" w:hAnsi="Arial" w:cs="Arial"/>
                <w:color w:val="000000"/>
                <w:sz w:val="24"/>
                <w:szCs w:val="24"/>
              </w:rPr>
              <w:t>716,898</w:t>
            </w:r>
          </w:p>
        </w:tc>
        <w:tc>
          <w:tcPr>
            <w:tcW w:w="1191" w:type="dxa"/>
            <w:tcBorders>
              <w:top w:val="nil"/>
              <w:left w:val="single" w:sz="4" w:space="0" w:color="auto"/>
              <w:bottom w:val="nil"/>
              <w:right w:val="nil"/>
            </w:tcBorders>
            <w:shd w:val="clear" w:color="auto" w:fill="auto"/>
            <w:vAlign w:val="center"/>
          </w:tcPr>
          <w:p w14:paraId="279CE48E" w14:textId="78E016BC" w:rsidR="000C2400" w:rsidRPr="007D064C" w:rsidRDefault="000C2400" w:rsidP="007D064C">
            <w:pPr>
              <w:ind w:right="322"/>
              <w:jc w:val="right"/>
              <w:rPr>
                <w:rFonts w:ascii="Arial" w:hAnsi="Arial"/>
                <w:color w:val="000000"/>
                <w:sz w:val="24"/>
              </w:rPr>
            </w:pPr>
            <w:r w:rsidRPr="000C2400">
              <w:rPr>
                <w:rFonts w:ascii="Arial" w:hAnsi="Arial" w:cs="Arial"/>
                <w:color w:val="000000"/>
                <w:sz w:val="24"/>
                <w:szCs w:val="24"/>
              </w:rPr>
              <w:t>7.78</w:t>
            </w:r>
          </w:p>
        </w:tc>
      </w:tr>
      <w:tr w:rsidR="00F142A3" w:rsidRPr="000C2400" w14:paraId="535684C5" w14:textId="77777777" w:rsidTr="004B58C3">
        <w:trPr>
          <w:gridAfter w:val="1"/>
          <w:wAfter w:w="30" w:type="dxa"/>
          <w:trHeight w:val="567"/>
          <w:jc w:val="center"/>
        </w:trPr>
        <w:tc>
          <w:tcPr>
            <w:tcW w:w="1191" w:type="dxa"/>
            <w:tcBorders>
              <w:top w:val="nil"/>
              <w:bottom w:val="nil"/>
            </w:tcBorders>
            <w:shd w:val="clear" w:color="auto" w:fill="auto"/>
            <w:vAlign w:val="center"/>
          </w:tcPr>
          <w:p w14:paraId="111D3196"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8</w:t>
            </w:r>
          </w:p>
        </w:tc>
        <w:tc>
          <w:tcPr>
            <w:tcW w:w="1191" w:type="dxa"/>
            <w:tcBorders>
              <w:top w:val="nil"/>
              <w:bottom w:val="nil"/>
            </w:tcBorders>
            <w:shd w:val="clear" w:color="auto" w:fill="auto"/>
            <w:vAlign w:val="center"/>
          </w:tcPr>
          <w:p w14:paraId="2803F054" w14:textId="4585454A" w:rsidR="000C2400" w:rsidRPr="007D064C" w:rsidRDefault="000C2400" w:rsidP="007D064C">
            <w:pPr>
              <w:ind w:right="721"/>
              <w:jc w:val="right"/>
              <w:rPr>
                <w:rFonts w:asciiTheme="minorBidi" w:hAnsiTheme="minorBidi"/>
                <w:sz w:val="24"/>
                <w:szCs w:val="24"/>
                <w:rtl/>
              </w:rPr>
            </w:pPr>
            <w:r>
              <w:rPr>
                <w:rFonts w:asciiTheme="minorBidi" w:hAnsiTheme="minorBidi"/>
                <w:sz w:val="24"/>
                <w:szCs w:val="24"/>
              </w:rPr>
              <w:t>16</w:t>
            </w:r>
          </w:p>
        </w:tc>
        <w:tc>
          <w:tcPr>
            <w:tcW w:w="1191" w:type="dxa"/>
            <w:tcBorders>
              <w:top w:val="nil"/>
              <w:bottom w:val="nil"/>
            </w:tcBorders>
            <w:vAlign w:val="center"/>
          </w:tcPr>
          <w:p w14:paraId="3A27A021" w14:textId="049BA9DF" w:rsidR="000C2400" w:rsidRPr="007D064C" w:rsidRDefault="000C2400" w:rsidP="000C2400">
            <w:pPr>
              <w:ind w:right="170"/>
              <w:jc w:val="right"/>
              <w:rPr>
                <w:rFonts w:asciiTheme="minorBidi" w:hAnsiTheme="minorBidi"/>
                <w:sz w:val="24"/>
                <w:szCs w:val="24"/>
                <w:rtl/>
              </w:rPr>
            </w:pPr>
            <w:r w:rsidRPr="0026394F">
              <w:rPr>
                <w:rFonts w:asciiTheme="minorBidi" w:hAnsiTheme="minorBidi"/>
                <w:sz w:val="24"/>
                <w:szCs w:val="24"/>
              </w:rPr>
              <w:t>22</w:t>
            </w:r>
            <w:r>
              <w:rPr>
                <w:rFonts w:asciiTheme="minorBidi" w:hAnsiTheme="minorBidi"/>
                <w:sz w:val="24"/>
                <w:szCs w:val="24"/>
              </w:rPr>
              <w:t>6</w:t>
            </w:r>
            <w:r w:rsidRPr="0026394F">
              <w:rPr>
                <w:rFonts w:asciiTheme="minorBidi" w:hAnsiTheme="minorBidi"/>
                <w:sz w:val="24"/>
                <w:szCs w:val="24"/>
              </w:rPr>
              <w:t>–24</w:t>
            </w:r>
            <w:r>
              <w:rPr>
                <w:rFonts w:asciiTheme="minorBidi" w:hAnsiTheme="minorBidi"/>
                <w:sz w:val="24"/>
                <w:szCs w:val="24"/>
              </w:rPr>
              <w:t>1</w:t>
            </w:r>
          </w:p>
        </w:tc>
        <w:tc>
          <w:tcPr>
            <w:tcW w:w="1191" w:type="dxa"/>
            <w:tcBorders>
              <w:top w:val="nil"/>
              <w:left w:val="nil"/>
              <w:bottom w:val="nil"/>
              <w:right w:val="single" w:sz="4" w:space="0" w:color="auto"/>
            </w:tcBorders>
            <w:shd w:val="clear" w:color="auto" w:fill="auto"/>
            <w:vAlign w:val="center"/>
          </w:tcPr>
          <w:p w14:paraId="1D36F51F" w14:textId="7545856B" w:rsidR="000C2400" w:rsidRPr="007D064C" w:rsidRDefault="000C2400" w:rsidP="007D064C">
            <w:pPr>
              <w:jc w:val="right"/>
              <w:rPr>
                <w:rFonts w:ascii="Arial" w:hAnsi="Arial" w:cs="Arial"/>
                <w:color w:val="000000"/>
                <w:sz w:val="24"/>
                <w:szCs w:val="24"/>
              </w:rPr>
            </w:pPr>
            <w:r w:rsidRPr="004D3AA6">
              <w:rPr>
                <w:rFonts w:ascii="Arial" w:hAnsi="Arial" w:cs="Arial"/>
                <w:color w:val="000000"/>
                <w:sz w:val="24"/>
                <w:szCs w:val="24"/>
              </w:rPr>
              <w:t>932,390</w:t>
            </w:r>
          </w:p>
        </w:tc>
        <w:tc>
          <w:tcPr>
            <w:tcW w:w="1191" w:type="dxa"/>
            <w:tcBorders>
              <w:top w:val="nil"/>
              <w:left w:val="single" w:sz="4" w:space="0" w:color="auto"/>
              <w:bottom w:val="nil"/>
              <w:right w:val="nil"/>
            </w:tcBorders>
            <w:shd w:val="clear" w:color="auto" w:fill="auto"/>
            <w:vAlign w:val="center"/>
          </w:tcPr>
          <w:p w14:paraId="606665A6" w14:textId="071C580E" w:rsidR="000C2400" w:rsidRPr="007D064C" w:rsidRDefault="000C2400" w:rsidP="007D064C">
            <w:pPr>
              <w:ind w:right="322"/>
              <w:jc w:val="right"/>
              <w:rPr>
                <w:rFonts w:ascii="Arial" w:hAnsi="Arial"/>
                <w:color w:val="000000"/>
                <w:sz w:val="24"/>
              </w:rPr>
            </w:pPr>
            <w:r w:rsidRPr="000C2400">
              <w:rPr>
                <w:rFonts w:ascii="Arial" w:hAnsi="Arial" w:cs="Arial"/>
                <w:color w:val="000000"/>
                <w:sz w:val="24"/>
                <w:szCs w:val="24"/>
              </w:rPr>
              <w:t>10.12</w:t>
            </w:r>
          </w:p>
        </w:tc>
      </w:tr>
      <w:tr w:rsidR="00F142A3" w:rsidRPr="000C2400" w14:paraId="1A46238E" w14:textId="77777777" w:rsidTr="004B58C3">
        <w:trPr>
          <w:gridAfter w:val="1"/>
          <w:wAfter w:w="30" w:type="dxa"/>
          <w:trHeight w:val="567"/>
          <w:jc w:val="center"/>
        </w:trPr>
        <w:tc>
          <w:tcPr>
            <w:tcW w:w="1191" w:type="dxa"/>
            <w:tcBorders>
              <w:top w:val="nil"/>
              <w:bottom w:val="nil"/>
            </w:tcBorders>
            <w:shd w:val="clear" w:color="auto" w:fill="auto"/>
            <w:vAlign w:val="center"/>
          </w:tcPr>
          <w:p w14:paraId="39304FE2"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9</w:t>
            </w:r>
          </w:p>
        </w:tc>
        <w:tc>
          <w:tcPr>
            <w:tcW w:w="1191" w:type="dxa"/>
            <w:tcBorders>
              <w:top w:val="nil"/>
              <w:bottom w:val="nil"/>
            </w:tcBorders>
            <w:shd w:val="clear" w:color="auto" w:fill="auto"/>
            <w:vAlign w:val="center"/>
          </w:tcPr>
          <w:p w14:paraId="0D757489" w14:textId="17BF18E9" w:rsidR="000C2400" w:rsidRPr="007D064C" w:rsidRDefault="000C2400" w:rsidP="007D064C">
            <w:pPr>
              <w:ind w:right="721"/>
              <w:jc w:val="right"/>
              <w:rPr>
                <w:rFonts w:asciiTheme="minorBidi" w:hAnsiTheme="minorBidi"/>
                <w:sz w:val="24"/>
                <w:szCs w:val="24"/>
                <w:rtl/>
              </w:rPr>
            </w:pPr>
            <w:r>
              <w:rPr>
                <w:rFonts w:asciiTheme="minorBidi" w:hAnsiTheme="minorBidi"/>
                <w:sz w:val="24"/>
                <w:szCs w:val="24"/>
              </w:rPr>
              <w:t>9</w:t>
            </w:r>
          </w:p>
        </w:tc>
        <w:tc>
          <w:tcPr>
            <w:tcW w:w="1191" w:type="dxa"/>
            <w:tcBorders>
              <w:top w:val="nil"/>
              <w:bottom w:val="nil"/>
            </w:tcBorders>
            <w:vAlign w:val="center"/>
          </w:tcPr>
          <w:p w14:paraId="6E0460AB" w14:textId="727F7908" w:rsidR="000C2400" w:rsidRPr="007D064C" w:rsidRDefault="000C2400" w:rsidP="000C2400">
            <w:pPr>
              <w:ind w:right="170"/>
              <w:jc w:val="right"/>
              <w:rPr>
                <w:rFonts w:asciiTheme="minorBidi" w:hAnsiTheme="minorBidi"/>
                <w:sz w:val="24"/>
                <w:szCs w:val="24"/>
                <w:rtl/>
              </w:rPr>
            </w:pPr>
            <w:r w:rsidRPr="0026394F">
              <w:rPr>
                <w:rFonts w:asciiTheme="minorBidi" w:hAnsiTheme="minorBidi"/>
                <w:sz w:val="24"/>
                <w:szCs w:val="24"/>
              </w:rPr>
              <w:t>24</w:t>
            </w:r>
            <w:r>
              <w:rPr>
                <w:rFonts w:asciiTheme="minorBidi" w:hAnsiTheme="minorBidi"/>
                <w:sz w:val="24"/>
                <w:szCs w:val="24"/>
              </w:rPr>
              <w:t>2</w:t>
            </w:r>
            <w:r w:rsidRPr="0026394F">
              <w:rPr>
                <w:rFonts w:asciiTheme="minorBidi" w:hAnsiTheme="minorBidi"/>
                <w:sz w:val="24"/>
                <w:szCs w:val="24"/>
              </w:rPr>
              <w:t>–250</w:t>
            </w:r>
          </w:p>
        </w:tc>
        <w:tc>
          <w:tcPr>
            <w:tcW w:w="1191" w:type="dxa"/>
            <w:tcBorders>
              <w:top w:val="nil"/>
              <w:left w:val="nil"/>
              <w:bottom w:val="nil"/>
              <w:right w:val="single" w:sz="4" w:space="0" w:color="auto"/>
            </w:tcBorders>
            <w:shd w:val="clear" w:color="auto" w:fill="auto"/>
            <w:vAlign w:val="center"/>
          </w:tcPr>
          <w:p w14:paraId="38FD631A" w14:textId="30D85AD0" w:rsidR="000C2400" w:rsidRPr="007D064C" w:rsidRDefault="000C2400" w:rsidP="007D064C">
            <w:pPr>
              <w:jc w:val="right"/>
              <w:rPr>
                <w:rFonts w:ascii="Arial" w:hAnsi="Arial" w:cs="Arial"/>
                <w:color w:val="000000"/>
                <w:sz w:val="24"/>
                <w:szCs w:val="24"/>
              </w:rPr>
            </w:pPr>
            <w:r w:rsidRPr="007D064C">
              <w:rPr>
                <w:rFonts w:ascii="Arial" w:hAnsi="Arial" w:cs="Arial"/>
                <w:color w:val="000000"/>
                <w:sz w:val="24"/>
                <w:szCs w:val="24"/>
              </w:rPr>
              <w:t>1,</w:t>
            </w:r>
            <w:r w:rsidRPr="004D3AA6">
              <w:rPr>
                <w:rFonts w:ascii="Arial" w:hAnsi="Arial" w:cs="Arial"/>
                <w:color w:val="000000"/>
                <w:sz w:val="24"/>
                <w:szCs w:val="24"/>
              </w:rPr>
              <w:t>862,476</w:t>
            </w:r>
          </w:p>
        </w:tc>
        <w:tc>
          <w:tcPr>
            <w:tcW w:w="1191" w:type="dxa"/>
            <w:tcBorders>
              <w:top w:val="nil"/>
              <w:left w:val="single" w:sz="4" w:space="0" w:color="auto"/>
              <w:bottom w:val="nil"/>
              <w:right w:val="nil"/>
            </w:tcBorders>
            <w:shd w:val="clear" w:color="auto" w:fill="auto"/>
            <w:vAlign w:val="center"/>
          </w:tcPr>
          <w:p w14:paraId="6BCFB455" w14:textId="77209C20" w:rsidR="000C2400" w:rsidRPr="007D064C" w:rsidRDefault="000C2400" w:rsidP="007D064C">
            <w:pPr>
              <w:ind w:right="322"/>
              <w:jc w:val="right"/>
              <w:rPr>
                <w:rFonts w:ascii="Arial" w:hAnsi="Arial"/>
                <w:color w:val="000000"/>
                <w:sz w:val="24"/>
              </w:rPr>
            </w:pPr>
            <w:r w:rsidRPr="007D064C">
              <w:rPr>
                <w:rFonts w:ascii="Arial" w:hAnsi="Arial"/>
                <w:color w:val="000000"/>
                <w:sz w:val="24"/>
              </w:rPr>
              <w:t>20.</w:t>
            </w:r>
            <w:r w:rsidRPr="000C2400">
              <w:rPr>
                <w:rFonts w:ascii="Arial" w:hAnsi="Arial" w:cs="Arial"/>
                <w:color w:val="000000"/>
                <w:sz w:val="24"/>
                <w:szCs w:val="24"/>
              </w:rPr>
              <w:t>21</w:t>
            </w:r>
          </w:p>
        </w:tc>
      </w:tr>
      <w:tr w:rsidR="00F142A3" w:rsidRPr="000C2400" w14:paraId="01231866" w14:textId="77777777" w:rsidTr="004B58C3">
        <w:trPr>
          <w:gridAfter w:val="1"/>
          <w:wAfter w:w="30" w:type="dxa"/>
          <w:trHeight w:val="459"/>
          <w:jc w:val="center"/>
        </w:trPr>
        <w:tc>
          <w:tcPr>
            <w:tcW w:w="1191" w:type="dxa"/>
            <w:tcBorders>
              <w:top w:val="nil"/>
            </w:tcBorders>
            <w:shd w:val="clear" w:color="auto" w:fill="auto"/>
            <w:vAlign w:val="center"/>
          </w:tcPr>
          <w:p w14:paraId="0FCED009" w14:textId="77777777" w:rsidR="000C2400" w:rsidRPr="007D064C" w:rsidRDefault="000C2400" w:rsidP="007D064C">
            <w:pPr>
              <w:ind w:left="-78" w:right="538"/>
              <w:jc w:val="right"/>
              <w:rPr>
                <w:rFonts w:asciiTheme="minorBidi" w:hAnsiTheme="minorBidi"/>
                <w:b/>
                <w:bCs/>
                <w:sz w:val="24"/>
                <w:szCs w:val="24"/>
                <w:rtl/>
              </w:rPr>
            </w:pPr>
            <w:r w:rsidRPr="007D064C">
              <w:rPr>
                <w:rFonts w:asciiTheme="minorBidi" w:hAnsiTheme="minorBidi"/>
                <w:b/>
                <w:bCs/>
                <w:sz w:val="24"/>
                <w:szCs w:val="24"/>
                <w:rtl/>
              </w:rPr>
              <w:t>10</w:t>
            </w:r>
          </w:p>
        </w:tc>
        <w:tc>
          <w:tcPr>
            <w:tcW w:w="1191" w:type="dxa"/>
            <w:tcBorders>
              <w:top w:val="nil"/>
            </w:tcBorders>
            <w:shd w:val="clear" w:color="auto" w:fill="auto"/>
            <w:vAlign w:val="center"/>
          </w:tcPr>
          <w:p w14:paraId="0C0FADC2" w14:textId="77777777" w:rsidR="000C2400" w:rsidRPr="007D064C" w:rsidRDefault="000C2400" w:rsidP="007D064C">
            <w:pPr>
              <w:ind w:right="721"/>
              <w:jc w:val="right"/>
              <w:rPr>
                <w:rFonts w:asciiTheme="minorBidi" w:hAnsiTheme="minorBidi"/>
                <w:sz w:val="24"/>
                <w:szCs w:val="24"/>
                <w:rtl/>
              </w:rPr>
            </w:pPr>
            <w:r w:rsidRPr="007D064C">
              <w:rPr>
                <w:rFonts w:asciiTheme="minorBidi" w:hAnsiTheme="minorBidi"/>
                <w:sz w:val="24"/>
                <w:szCs w:val="24"/>
                <w:rtl/>
              </w:rPr>
              <w:t>5</w:t>
            </w:r>
          </w:p>
        </w:tc>
        <w:tc>
          <w:tcPr>
            <w:tcW w:w="1191" w:type="dxa"/>
            <w:tcBorders>
              <w:top w:val="nil"/>
            </w:tcBorders>
            <w:vAlign w:val="center"/>
          </w:tcPr>
          <w:p w14:paraId="50899FB3" w14:textId="50B5B445" w:rsidR="000C2400" w:rsidRPr="007D064C" w:rsidRDefault="000C2400" w:rsidP="000C2400">
            <w:pPr>
              <w:ind w:right="170"/>
              <w:jc w:val="right"/>
              <w:rPr>
                <w:rFonts w:asciiTheme="minorBidi" w:hAnsiTheme="minorBidi"/>
                <w:sz w:val="24"/>
                <w:szCs w:val="24"/>
                <w:rtl/>
              </w:rPr>
            </w:pPr>
            <w:r w:rsidRPr="0026394F">
              <w:rPr>
                <w:rFonts w:asciiTheme="minorBidi" w:hAnsiTheme="minorBidi"/>
                <w:sz w:val="24"/>
                <w:szCs w:val="24"/>
              </w:rPr>
              <w:t>251–255</w:t>
            </w:r>
          </w:p>
        </w:tc>
        <w:tc>
          <w:tcPr>
            <w:tcW w:w="1191" w:type="dxa"/>
            <w:tcBorders>
              <w:top w:val="nil"/>
              <w:left w:val="nil"/>
              <w:bottom w:val="nil"/>
              <w:right w:val="single" w:sz="4" w:space="0" w:color="auto"/>
            </w:tcBorders>
            <w:shd w:val="clear" w:color="auto" w:fill="auto"/>
            <w:vAlign w:val="center"/>
          </w:tcPr>
          <w:p w14:paraId="4AC08705" w14:textId="22E0894C" w:rsidR="000C2400" w:rsidRPr="007D064C" w:rsidRDefault="000C2400" w:rsidP="007D064C">
            <w:pPr>
              <w:jc w:val="right"/>
              <w:rPr>
                <w:rFonts w:ascii="Arial" w:hAnsi="Arial" w:cs="Arial"/>
                <w:color w:val="000000"/>
                <w:sz w:val="24"/>
                <w:szCs w:val="24"/>
              </w:rPr>
            </w:pPr>
            <w:r w:rsidRPr="004D3AA6">
              <w:rPr>
                <w:rFonts w:ascii="Arial" w:hAnsi="Arial" w:cs="Arial"/>
                <w:color w:val="000000"/>
                <w:sz w:val="24"/>
                <w:szCs w:val="24"/>
              </w:rPr>
              <w:t>928,467</w:t>
            </w:r>
          </w:p>
        </w:tc>
        <w:tc>
          <w:tcPr>
            <w:tcW w:w="1191" w:type="dxa"/>
            <w:tcBorders>
              <w:top w:val="nil"/>
              <w:left w:val="single" w:sz="4" w:space="0" w:color="auto"/>
              <w:bottom w:val="single" w:sz="4" w:space="0" w:color="auto"/>
              <w:right w:val="nil"/>
            </w:tcBorders>
            <w:shd w:val="clear" w:color="auto" w:fill="auto"/>
            <w:vAlign w:val="center"/>
          </w:tcPr>
          <w:p w14:paraId="5708A15C" w14:textId="1AFFE262" w:rsidR="000C2400" w:rsidRPr="007D064C" w:rsidRDefault="000C2400" w:rsidP="007D064C">
            <w:pPr>
              <w:ind w:right="322"/>
              <w:jc w:val="right"/>
              <w:rPr>
                <w:rFonts w:ascii="Arial" w:hAnsi="Arial"/>
                <w:color w:val="000000"/>
                <w:sz w:val="24"/>
              </w:rPr>
            </w:pPr>
            <w:r w:rsidRPr="007D064C">
              <w:rPr>
                <w:rFonts w:ascii="Arial" w:hAnsi="Arial"/>
                <w:color w:val="000000"/>
                <w:sz w:val="24"/>
              </w:rPr>
              <w:t>10.</w:t>
            </w:r>
            <w:r w:rsidRPr="000C2400">
              <w:rPr>
                <w:rFonts w:ascii="Arial" w:hAnsi="Arial" w:cs="Arial"/>
                <w:color w:val="000000"/>
                <w:sz w:val="24"/>
                <w:szCs w:val="24"/>
              </w:rPr>
              <w:t>07</w:t>
            </w:r>
          </w:p>
        </w:tc>
      </w:tr>
      <w:tr w:rsidR="00F142A3" w:rsidRPr="0026394F" w14:paraId="765FBDBE" w14:textId="77777777" w:rsidTr="00EE4D2F">
        <w:trPr>
          <w:gridAfter w:val="1"/>
          <w:wAfter w:w="30" w:type="dxa"/>
          <w:trHeight w:val="259"/>
          <w:jc w:val="center"/>
        </w:trPr>
        <w:tc>
          <w:tcPr>
            <w:tcW w:w="1668" w:type="dxa"/>
            <w:tcBorders>
              <w:bottom w:val="double" w:sz="4" w:space="0" w:color="auto"/>
            </w:tcBorders>
            <w:shd w:val="clear" w:color="auto" w:fill="auto"/>
            <w:vAlign w:val="bottom"/>
          </w:tcPr>
          <w:p w14:paraId="3A6BA997" w14:textId="77777777" w:rsidR="00BF22DF" w:rsidRPr="007D064C" w:rsidRDefault="00BF22DF" w:rsidP="00BF22DF">
            <w:pPr>
              <w:jc w:val="center"/>
              <w:rPr>
                <w:rFonts w:asciiTheme="minorBidi" w:hAnsiTheme="minorBidi"/>
                <w:b/>
                <w:bCs/>
                <w:sz w:val="24"/>
                <w:szCs w:val="24"/>
                <w:rtl/>
              </w:rPr>
            </w:pPr>
            <w:r w:rsidRPr="0026394F">
              <w:rPr>
                <w:rFonts w:asciiTheme="minorBidi" w:hAnsiTheme="minorBidi"/>
                <w:b/>
                <w:bCs/>
                <w:sz w:val="24"/>
                <w:szCs w:val="24"/>
              </w:rPr>
              <w:t>Total</w:t>
            </w:r>
          </w:p>
        </w:tc>
        <w:tc>
          <w:tcPr>
            <w:tcW w:w="1890" w:type="dxa"/>
            <w:tcBorders>
              <w:bottom w:val="double" w:sz="4" w:space="0" w:color="auto"/>
            </w:tcBorders>
            <w:shd w:val="clear" w:color="auto" w:fill="auto"/>
            <w:vAlign w:val="bottom"/>
          </w:tcPr>
          <w:p w14:paraId="4F55E9F6" w14:textId="77777777" w:rsidR="00BF22DF" w:rsidRPr="0026394F" w:rsidRDefault="00BF22DF" w:rsidP="003324A8">
            <w:pPr>
              <w:ind w:right="170"/>
              <w:jc w:val="center"/>
              <w:rPr>
                <w:rFonts w:asciiTheme="minorBidi" w:hAnsiTheme="minorBidi"/>
                <w:b/>
                <w:bCs/>
                <w:sz w:val="24"/>
                <w:szCs w:val="24"/>
                <w:lang w:val="en-US"/>
              </w:rPr>
            </w:pPr>
            <w:r w:rsidRPr="007D064C">
              <w:rPr>
                <w:rFonts w:asciiTheme="minorBidi" w:hAnsiTheme="minorBidi"/>
                <w:b/>
                <w:bCs/>
                <w:sz w:val="24"/>
                <w:szCs w:val="24"/>
                <w:rtl/>
              </w:rPr>
              <w:t>255</w:t>
            </w:r>
          </w:p>
        </w:tc>
        <w:tc>
          <w:tcPr>
            <w:tcW w:w="1560" w:type="dxa"/>
            <w:tcBorders>
              <w:bottom w:val="double" w:sz="4" w:space="0" w:color="auto"/>
            </w:tcBorders>
            <w:vAlign w:val="bottom"/>
          </w:tcPr>
          <w:p w14:paraId="2DFD5B15" w14:textId="77777777" w:rsidR="00BF22DF" w:rsidRPr="007D064C" w:rsidRDefault="00CA274D" w:rsidP="00EC1B43">
            <w:pPr>
              <w:ind w:right="170"/>
              <w:rPr>
                <w:rFonts w:asciiTheme="minorBidi" w:hAnsiTheme="minorBidi"/>
                <w:b/>
                <w:bCs/>
                <w:sz w:val="24"/>
                <w:szCs w:val="24"/>
                <w:rtl/>
              </w:rPr>
            </w:pPr>
            <w:r w:rsidRPr="00CA274D">
              <w:rPr>
                <w:rFonts w:asciiTheme="minorBidi" w:hAnsiTheme="minorBidi"/>
                <w:b/>
                <w:bCs/>
                <w:color w:val="FFFFFF" w:themeColor="background1"/>
                <w:sz w:val="24"/>
                <w:szCs w:val="24"/>
              </w:rPr>
              <w:t>-</w:t>
            </w:r>
          </w:p>
        </w:tc>
        <w:tc>
          <w:tcPr>
            <w:tcW w:w="1454" w:type="dxa"/>
            <w:tcBorders>
              <w:bottom w:val="double" w:sz="4" w:space="0" w:color="auto"/>
            </w:tcBorders>
            <w:shd w:val="clear" w:color="auto" w:fill="auto"/>
            <w:vAlign w:val="bottom"/>
          </w:tcPr>
          <w:p w14:paraId="6B9C10DD" w14:textId="11D260C1" w:rsidR="00BF22DF" w:rsidRPr="007D064C" w:rsidRDefault="004D3AA6" w:rsidP="007D064C">
            <w:pPr>
              <w:jc w:val="right"/>
              <w:rPr>
                <w:rFonts w:asciiTheme="minorBidi" w:hAnsiTheme="minorBidi"/>
                <w:b/>
                <w:bCs/>
                <w:sz w:val="24"/>
                <w:szCs w:val="24"/>
                <w:rtl/>
              </w:rPr>
            </w:pPr>
            <w:r>
              <w:rPr>
                <w:rFonts w:asciiTheme="minorBidi" w:hAnsiTheme="minorBidi"/>
                <w:b/>
                <w:bCs/>
                <w:sz w:val="24"/>
                <w:szCs w:val="24"/>
              </w:rPr>
              <w:t>9,216,330</w:t>
            </w:r>
          </w:p>
        </w:tc>
        <w:tc>
          <w:tcPr>
            <w:tcW w:w="1683" w:type="dxa"/>
            <w:tcBorders>
              <w:top w:val="single" w:sz="4" w:space="0" w:color="auto"/>
              <w:bottom w:val="double" w:sz="4" w:space="0" w:color="auto"/>
            </w:tcBorders>
            <w:vAlign w:val="bottom"/>
          </w:tcPr>
          <w:p w14:paraId="5D3FDF20" w14:textId="77777777" w:rsidR="00BF22DF" w:rsidRPr="0026394F" w:rsidRDefault="00BF22DF" w:rsidP="007D064C">
            <w:pPr>
              <w:ind w:right="322"/>
              <w:jc w:val="right"/>
              <w:rPr>
                <w:rFonts w:asciiTheme="minorBidi" w:hAnsiTheme="minorBidi"/>
                <w:b/>
                <w:bCs/>
                <w:color w:val="000000"/>
                <w:sz w:val="24"/>
                <w:szCs w:val="24"/>
              </w:rPr>
            </w:pPr>
            <w:r w:rsidRPr="0026394F">
              <w:rPr>
                <w:rFonts w:asciiTheme="minorBidi" w:hAnsiTheme="minorBidi"/>
                <w:b/>
                <w:bCs/>
                <w:sz w:val="24"/>
                <w:szCs w:val="24"/>
              </w:rPr>
              <w:t>100.00</w:t>
            </w:r>
          </w:p>
        </w:tc>
      </w:tr>
    </w:tbl>
    <w:p w14:paraId="51FF0A2C" w14:textId="77777777" w:rsidR="00BF22DF" w:rsidRPr="009D5E35" w:rsidRDefault="00BF22DF" w:rsidP="007D064C">
      <w:pPr>
        <w:pStyle w:val="body"/>
        <w:pageBreakBefore/>
        <w:spacing w:before="360"/>
      </w:pPr>
      <w:r w:rsidRPr="009D5E35">
        <w:lastRenderedPageBreak/>
        <w:t xml:space="preserve">The </w:t>
      </w:r>
      <w:r w:rsidRPr="009D5E35">
        <w:rPr>
          <w:b/>
          <w:bCs/>
        </w:rPr>
        <w:t xml:space="preserve">localities within the regional councils were allocated to 10 clusters </w:t>
      </w:r>
      <w:r w:rsidRPr="009D5E35">
        <w:t xml:space="preserve">according to the values of their </w:t>
      </w:r>
      <w:r w:rsidR="00A94A6E">
        <w:t>Peripherality Index</w:t>
      </w:r>
      <w:r w:rsidRPr="009D5E35">
        <w:t xml:space="preserve"> and according to the boundaries of the clusters of the local authorities.</w:t>
      </w:r>
    </w:p>
    <w:p w14:paraId="40362668" w14:textId="77777777" w:rsidR="00BF22DF" w:rsidRPr="009D5E35" w:rsidRDefault="00BF22DF" w:rsidP="00DE2A44">
      <w:pPr>
        <w:pStyle w:val="body"/>
      </w:pPr>
      <w:r w:rsidRPr="00020D59">
        <w:rPr>
          <w:b/>
          <w:bCs/>
        </w:rPr>
        <w:t>Table B</w:t>
      </w:r>
      <w:r w:rsidRPr="009D5E35">
        <w:t xml:space="preserve"> displays the number of loca</w:t>
      </w:r>
      <w:r w:rsidR="00837DA8">
        <w:t>lities, the range of the rank</w:t>
      </w:r>
      <w:r w:rsidRPr="009D5E35">
        <w:t>s, the population size</w:t>
      </w:r>
      <w:r w:rsidR="00A156F0">
        <w:t>,</w:t>
      </w:r>
      <w:r w:rsidRPr="009D5E35">
        <w:t xml:space="preserve"> and </w:t>
      </w:r>
      <w:r w:rsidR="00A156F0">
        <w:t xml:space="preserve">the population </w:t>
      </w:r>
      <w:r w:rsidRPr="009D5E35">
        <w:t>percentage in each peripherality cluster at the level of locality.</w:t>
      </w:r>
    </w:p>
    <w:p w14:paraId="786C3740" w14:textId="14224764" w:rsidR="00BF22DF" w:rsidRPr="00EC1B43" w:rsidRDefault="00BF22DF" w:rsidP="005A7220">
      <w:pPr>
        <w:pStyle w:val="body"/>
        <w:keepNext/>
        <w:jc w:val="center"/>
        <w:rPr>
          <w:b/>
          <w:bCs/>
        </w:rPr>
      </w:pPr>
      <w:r w:rsidRPr="00E72D1C">
        <w:rPr>
          <w:b/>
          <w:bCs/>
        </w:rPr>
        <w:t>Table B</w:t>
      </w:r>
      <w:r w:rsidR="00092B56" w:rsidRPr="00E72D1C">
        <w:rPr>
          <w:b/>
          <w:bCs/>
        </w:rPr>
        <w:t>.</w:t>
      </w:r>
      <w:r w:rsidRPr="00E72D1C">
        <w:rPr>
          <w:b/>
          <w:bCs/>
        </w:rPr>
        <w:t xml:space="preserve"> Distribution of Localities by Peripherality Cluster, 20</w:t>
      </w:r>
      <w:r w:rsidR="005A7220" w:rsidRPr="00E72D1C">
        <w:rPr>
          <w:b/>
          <w:bCs/>
        </w:rPr>
        <w:t>20</w:t>
      </w:r>
    </w:p>
    <w:tbl>
      <w:tblPr>
        <w:tblW w:w="8353" w:type="dxa"/>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Caption w:val="Table B. Distribution of Localities by Peripherality Cluster, 2020"/>
        <w:tblDescription w:val="Distribution of Localities by Peripherality Cluster, 2020"/>
      </w:tblPr>
      <w:tblGrid>
        <w:gridCol w:w="1700"/>
        <w:gridCol w:w="1277"/>
        <w:gridCol w:w="1985"/>
        <w:gridCol w:w="1768"/>
        <w:gridCol w:w="1623"/>
      </w:tblGrid>
      <w:tr w:rsidR="00F142A3" w:rsidRPr="00092B56" w14:paraId="40CE4703" w14:textId="77777777" w:rsidTr="000E5BF0">
        <w:trPr>
          <w:trHeight w:val="596"/>
          <w:tblHeader/>
          <w:jc w:val="center"/>
        </w:trPr>
        <w:tc>
          <w:tcPr>
            <w:tcW w:w="1700" w:type="dxa"/>
            <w:tcBorders>
              <w:bottom w:val="single" w:sz="4" w:space="0" w:color="auto"/>
            </w:tcBorders>
            <w:shd w:val="clear" w:color="auto" w:fill="auto"/>
            <w:vAlign w:val="center"/>
          </w:tcPr>
          <w:p w14:paraId="6A90796D" w14:textId="77777777" w:rsidR="00957864" w:rsidRPr="00092B56" w:rsidRDefault="00957864" w:rsidP="00F92604">
            <w:pPr>
              <w:keepNext/>
              <w:jc w:val="center"/>
              <w:rPr>
                <w:rFonts w:asciiTheme="minorBidi" w:hAnsiTheme="minorBidi"/>
                <w:sz w:val="24"/>
                <w:szCs w:val="24"/>
                <w:rtl/>
              </w:rPr>
            </w:pPr>
            <w:r w:rsidRPr="00092B56">
              <w:rPr>
                <w:rFonts w:asciiTheme="minorBidi" w:hAnsiTheme="minorBidi"/>
                <w:sz w:val="24"/>
                <w:szCs w:val="24"/>
              </w:rPr>
              <w:t>Peripherality Cluster</w:t>
            </w:r>
          </w:p>
        </w:tc>
        <w:tc>
          <w:tcPr>
            <w:tcW w:w="1277" w:type="dxa"/>
            <w:tcBorders>
              <w:bottom w:val="single" w:sz="4" w:space="0" w:color="auto"/>
            </w:tcBorders>
            <w:shd w:val="clear" w:color="auto" w:fill="auto"/>
            <w:vAlign w:val="center"/>
          </w:tcPr>
          <w:p w14:paraId="438F2915" w14:textId="77777777" w:rsidR="00957864" w:rsidRPr="00092B56" w:rsidRDefault="00957864" w:rsidP="00F92604">
            <w:pPr>
              <w:keepNext/>
              <w:jc w:val="center"/>
              <w:rPr>
                <w:rFonts w:asciiTheme="minorBidi" w:hAnsiTheme="minorBidi"/>
                <w:sz w:val="24"/>
                <w:szCs w:val="24"/>
                <w:rtl/>
              </w:rPr>
            </w:pPr>
            <w:r w:rsidRPr="00092B56">
              <w:rPr>
                <w:rFonts w:asciiTheme="minorBidi" w:hAnsiTheme="minorBidi"/>
                <w:sz w:val="24"/>
                <w:szCs w:val="24"/>
              </w:rPr>
              <w:t>Number of Localities</w:t>
            </w:r>
          </w:p>
        </w:tc>
        <w:tc>
          <w:tcPr>
            <w:tcW w:w="1985" w:type="dxa"/>
            <w:tcBorders>
              <w:bottom w:val="single" w:sz="4" w:space="0" w:color="auto"/>
            </w:tcBorders>
            <w:vAlign w:val="center"/>
          </w:tcPr>
          <w:p w14:paraId="6627E657" w14:textId="77777777" w:rsidR="00957864" w:rsidRPr="00092B56" w:rsidRDefault="00957864" w:rsidP="00837DA8">
            <w:pPr>
              <w:keepNext/>
              <w:jc w:val="center"/>
              <w:rPr>
                <w:rFonts w:asciiTheme="minorBidi" w:hAnsiTheme="minorBidi"/>
                <w:sz w:val="24"/>
                <w:szCs w:val="24"/>
                <w:rtl/>
              </w:rPr>
            </w:pPr>
            <w:r w:rsidRPr="00092B56">
              <w:rPr>
                <w:rFonts w:asciiTheme="minorBidi" w:hAnsiTheme="minorBidi"/>
                <w:sz w:val="24"/>
                <w:szCs w:val="24"/>
              </w:rPr>
              <w:t>Range of Ranks</w:t>
            </w:r>
          </w:p>
        </w:tc>
        <w:tc>
          <w:tcPr>
            <w:tcW w:w="1768" w:type="dxa"/>
            <w:tcBorders>
              <w:bottom w:val="single" w:sz="4" w:space="0" w:color="auto"/>
            </w:tcBorders>
            <w:shd w:val="clear" w:color="auto" w:fill="auto"/>
            <w:vAlign w:val="center"/>
          </w:tcPr>
          <w:p w14:paraId="23BC7E09" w14:textId="77777777" w:rsidR="00957864" w:rsidRPr="00092B56" w:rsidRDefault="00957864" w:rsidP="00F92604">
            <w:pPr>
              <w:keepNext/>
              <w:jc w:val="center"/>
              <w:rPr>
                <w:rFonts w:asciiTheme="minorBidi" w:hAnsiTheme="minorBidi"/>
                <w:sz w:val="24"/>
                <w:szCs w:val="24"/>
                <w:rtl/>
              </w:rPr>
            </w:pPr>
            <w:r w:rsidRPr="00092B56">
              <w:rPr>
                <w:rFonts w:asciiTheme="minorBidi" w:hAnsiTheme="minorBidi"/>
                <w:sz w:val="24"/>
                <w:szCs w:val="24"/>
              </w:rPr>
              <w:t>Total Population</w:t>
            </w:r>
          </w:p>
        </w:tc>
        <w:tc>
          <w:tcPr>
            <w:tcW w:w="1623" w:type="dxa"/>
            <w:tcBorders>
              <w:bottom w:val="single" w:sz="4" w:space="0" w:color="auto"/>
            </w:tcBorders>
            <w:vAlign w:val="center"/>
          </w:tcPr>
          <w:p w14:paraId="113BDE5D" w14:textId="77777777" w:rsidR="00957864" w:rsidRPr="00092B56" w:rsidRDefault="00957864" w:rsidP="00F92604">
            <w:pPr>
              <w:keepNext/>
              <w:jc w:val="center"/>
              <w:rPr>
                <w:rFonts w:asciiTheme="minorBidi" w:hAnsiTheme="minorBidi"/>
                <w:sz w:val="24"/>
                <w:szCs w:val="24"/>
                <w:rtl/>
              </w:rPr>
            </w:pPr>
            <w:r w:rsidRPr="00092B56">
              <w:rPr>
                <w:rFonts w:asciiTheme="minorBidi" w:hAnsiTheme="minorBidi"/>
                <w:sz w:val="24"/>
                <w:szCs w:val="24"/>
              </w:rPr>
              <w:t>Percentage of Population</w:t>
            </w:r>
          </w:p>
        </w:tc>
      </w:tr>
      <w:tr w:rsidR="00F142A3" w:rsidRPr="00092B56" w14:paraId="22DF1B28" w14:textId="77777777" w:rsidTr="000E5BF0">
        <w:trPr>
          <w:trHeight w:val="567"/>
          <w:jc w:val="center"/>
        </w:trPr>
        <w:tc>
          <w:tcPr>
            <w:tcW w:w="1700" w:type="dxa"/>
            <w:tcBorders>
              <w:top w:val="single" w:sz="4" w:space="0" w:color="auto"/>
              <w:bottom w:val="nil"/>
            </w:tcBorders>
            <w:shd w:val="clear" w:color="auto" w:fill="auto"/>
            <w:vAlign w:val="center"/>
          </w:tcPr>
          <w:p w14:paraId="448724E4" w14:textId="77777777" w:rsidR="00B5063D" w:rsidRPr="00092B56" w:rsidRDefault="00B5063D" w:rsidP="007D064C">
            <w:pPr>
              <w:keepNext/>
              <w:ind w:right="538"/>
              <w:jc w:val="right"/>
              <w:rPr>
                <w:rFonts w:asciiTheme="minorBidi" w:hAnsiTheme="minorBidi"/>
                <w:b/>
                <w:bCs/>
                <w:sz w:val="24"/>
                <w:szCs w:val="24"/>
                <w:rtl/>
              </w:rPr>
            </w:pPr>
            <w:r w:rsidRPr="00092B56">
              <w:rPr>
                <w:rFonts w:asciiTheme="minorBidi" w:hAnsiTheme="minorBidi"/>
                <w:b/>
                <w:bCs/>
                <w:sz w:val="24"/>
                <w:szCs w:val="24"/>
                <w:rtl/>
              </w:rPr>
              <w:t>1</w:t>
            </w:r>
          </w:p>
        </w:tc>
        <w:tc>
          <w:tcPr>
            <w:tcW w:w="1277" w:type="dxa"/>
            <w:tcBorders>
              <w:top w:val="single" w:sz="4" w:space="0" w:color="auto"/>
              <w:bottom w:val="nil"/>
            </w:tcBorders>
            <w:shd w:val="clear" w:color="auto" w:fill="auto"/>
            <w:vAlign w:val="center"/>
          </w:tcPr>
          <w:p w14:paraId="0F9F20C3" w14:textId="0219756A" w:rsidR="00B5063D" w:rsidRPr="00092B56" w:rsidRDefault="00B5063D" w:rsidP="00B5063D">
            <w:pPr>
              <w:keepNext/>
              <w:ind w:right="284"/>
              <w:jc w:val="right"/>
              <w:rPr>
                <w:rFonts w:asciiTheme="minorBidi" w:hAnsiTheme="minorBidi"/>
                <w:sz w:val="24"/>
                <w:szCs w:val="24"/>
                <w:rtl/>
              </w:rPr>
            </w:pPr>
            <w:r>
              <w:rPr>
                <w:rFonts w:asciiTheme="minorBidi" w:hAnsiTheme="minorBidi"/>
                <w:sz w:val="24"/>
                <w:szCs w:val="24"/>
              </w:rPr>
              <w:t>119</w:t>
            </w:r>
          </w:p>
        </w:tc>
        <w:tc>
          <w:tcPr>
            <w:tcW w:w="1985" w:type="dxa"/>
            <w:tcBorders>
              <w:top w:val="single" w:sz="4" w:space="0" w:color="auto"/>
              <w:bottom w:val="nil"/>
            </w:tcBorders>
            <w:vAlign w:val="center"/>
          </w:tcPr>
          <w:p w14:paraId="66B89BD3" w14:textId="2A00F323" w:rsidR="00B5063D" w:rsidRPr="00092B56" w:rsidRDefault="00B5063D" w:rsidP="00B5063D">
            <w:pPr>
              <w:keepNext/>
              <w:ind w:right="113"/>
              <w:jc w:val="right"/>
              <w:rPr>
                <w:rFonts w:asciiTheme="minorBidi" w:hAnsiTheme="minorBidi"/>
                <w:sz w:val="24"/>
                <w:szCs w:val="24"/>
              </w:rPr>
            </w:pPr>
            <w:r w:rsidRPr="00092B56">
              <w:rPr>
                <w:rFonts w:asciiTheme="minorBidi" w:hAnsiTheme="minorBidi"/>
                <w:sz w:val="24"/>
                <w:szCs w:val="24"/>
              </w:rPr>
              <w:t>1–</w:t>
            </w:r>
            <w:r>
              <w:rPr>
                <w:rFonts w:asciiTheme="minorBidi" w:hAnsiTheme="minorBidi"/>
                <w:sz w:val="24"/>
                <w:szCs w:val="24"/>
              </w:rPr>
              <w:t>119</w:t>
            </w:r>
          </w:p>
        </w:tc>
        <w:tc>
          <w:tcPr>
            <w:tcW w:w="1768" w:type="dxa"/>
            <w:tcBorders>
              <w:top w:val="nil"/>
              <w:left w:val="nil"/>
              <w:bottom w:val="nil"/>
              <w:right w:val="single" w:sz="4" w:space="0" w:color="auto"/>
            </w:tcBorders>
            <w:shd w:val="clear" w:color="auto" w:fill="auto"/>
            <w:vAlign w:val="center"/>
          </w:tcPr>
          <w:p w14:paraId="533ED654" w14:textId="6D64467D" w:rsidR="00B5063D" w:rsidRPr="007D064C" w:rsidRDefault="00B5063D" w:rsidP="007D064C">
            <w:pPr>
              <w:ind w:right="321"/>
              <w:jc w:val="right"/>
              <w:rPr>
                <w:rFonts w:ascii="Arial" w:hAnsi="Arial"/>
                <w:color w:val="000000"/>
                <w:sz w:val="24"/>
              </w:rPr>
            </w:pPr>
            <w:r w:rsidRPr="00B5063D">
              <w:rPr>
                <w:rFonts w:ascii="Arial" w:hAnsi="Arial" w:cs="Arial"/>
                <w:color w:val="000000"/>
                <w:sz w:val="24"/>
                <w:szCs w:val="24"/>
              </w:rPr>
              <w:t>184,302</w:t>
            </w:r>
          </w:p>
        </w:tc>
        <w:tc>
          <w:tcPr>
            <w:tcW w:w="1623" w:type="dxa"/>
            <w:tcBorders>
              <w:top w:val="single" w:sz="4" w:space="0" w:color="auto"/>
              <w:left w:val="single" w:sz="4" w:space="0" w:color="auto"/>
              <w:bottom w:val="nil"/>
              <w:right w:val="nil"/>
            </w:tcBorders>
            <w:shd w:val="clear" w:color="auto" w:fill="auto"/>
            <w:vAlign w:val="center"/>
          </w:tcPr>
          <w:p w14:paraId="2CB124D7" w14:textId="3AF11A07" w:rsidR="00B5063D" w:rsidRPr="007D064C" w:rsidRDefault="00B5063D" w:rsidP="007D064C">
            <w:pPr>
              <w:ind w:right="240"/>
              <w:jc w:val="right"/>
              <w:rPr>
                <w:rFonts w:ascii="Arial" w:hAnsi="Arial"/>
                <w:color w:val="000000"/>
                <w:sz w:val="24"/>
              </w:rPr>
            </w:pPr>
            <w:r w:rsidRPr="00B5063D">
              <w:rPr>
                <w:rFonts w:ascii="Arial" w:hAnsi="Arial" w:cs="Arial"/>
                <w:color w:val="000000"/>
                <w:sz w:val="24"/>
                <w:szCs w:val="24"/>
              </w:rPr>
              <w:t>2.00</w:t>
            </w:r>
          </w:p>
        </w:tc>
      </w:tr>
      <w:tr w:rsidR="00F142A3" w:rsidRPr="00092B56" w14:paraId="358046A3" w14:textId="77777777" w:rsidTr="000E5BF0">
        <w:trPr>
          <w:trHeight w:val="567"/>
          <w:jc w:val="center"/>
        </w:trPr>
        <w:tc>
          <w:tcPr>
            <w:tcW w:w="1700" w:type="dxa"/>
            <w:tcBorders>
              <w:top w:val="nil"/>
              <w:bottom w:val="nil"/>
            </w:tcBorders>
            <w:shd w:val="clear" w:color="auto" w:fill="auto"/>
            <w:vAlign w:val="center"/>
          </w:tcPr>
          <w:p w14:paraId="64219935" w14:textId="77777777" w:rsidR="00B5063D" w:rsidRPr="00092B56" w:rsidRDefault="00B5063D" w:rsidP="007D064C">
            <w:pPr>
              <w:keepNext/>
              <w:ind w:right="538"/>
              <w:jc w:val="right"/>
              <w:rPr>
                <w:rFonts w:asciiTheme="minorBidi" w:hAnsiTheme="minorBidi"/>
                <w:b/>
                <w:bCs/>
                <w:sz w:val="24"/>
                <w:szCs w:val="24"/>
                <w:rtl/>
              </w:rPr>
            </w:pPr>
            <w:r w:rsidRPr="00092B56">
              <w:rPr>
                <w:rFonts w:asciiTheme="minorBidi" w:hAnsiTheme="minorBidi"/>
                <w:b/>
                <w:bCs/>
                <w:sz w:val="24"/>
                <w:szCs w:val="24"/>
                <w:rtl/>
              </w:rPr>
              <w:t>2</w:t>
            </w:r>
          </w:p>
        </w:tc>
        <w:tc>
          <w:tcPr>
            <w:tcW w:w="1277" w:type="dxa"/>
            <w:tcBorders>
              <w:top w:val="nil"/>
              <w:bottom w:val="nil"/>
            </w:tcBorders>
            <w:shd w:val="clear" w:color="auto" w:fill="auto"/>
            <w:vAlign w:val="center"/>
          </w:tcPr>
          <w:p w14:paraId="77FF71A0" w14:textId="7889D1A0" w:rsidR="00B5063D" w:rsidRPr="00092B56" w:rsidRDefault="00B5063D" w:rsidP="00B5063D">
            <w:pPr>
              <w:keepNext/>
              <w:ind w:right="284"/>
              <w:jc w:val="right"/>
              <w:rPr>
                <w:rFonts w:asciiTheme="minorBidi" w:hAnsiTheme="minorBidi"/>
                <w:sz w:val="24"/>
                <w:szCs w:val="24"/>
                <w:rtl/>
              </w:rPr>
            </w:pPr>
            <w:r>
              <w:rPr>
                <w:rFonts w:asciiTheme="minorBidi" w:hAnsiTheme="minorBidi"/>
                <w:sz w:val="24"/>
                <w:szCs w:val="24"/>
              </w:rPr>
              <w:t>146</w:t>
            </w:r>
          </w:p>
        </w:tc>
        <w:tc>
          <w:tcPr>
            <w:tcW w:w="1985" w:type="dxa"/>
            <w:tcBorders>
              <w:top w:val="nil"/>
              <w:bottom w:val="nil"/>
            </w:tcBorders>
            <w:vAlign w:val="center"/>
          </w:tcPr>
          <w:p w14:paraId="1DB6EC21" w14:textId="19511472" w:rsidR="00B5063D" w:rsidRPr="00092B56" w:rsidRDefault="00B5063D" w:rsidP="00B5063D">
            <w:pPr>
              <w:keepNext/>
              <w:ind w:right="113"/>
              <w:jc w:val="right"/>
              <w:rPr>
                <w:rFonts w:asciiTheme="minorBidi" w:hAnsiTheme="minorBidi"/>
                <w:sz w:val="24"/>
                <w:szCs w:val="24"/>
                <w:rtl/>
              </w:rPr>
            </w:pPr>
            <w:r>
              <w:rPr>
                <w:rFonts w:asciiTheme="minorBidi" w:hAnsiTheme="minorBidi"/>
                <w:sz w:val="24"/>
                <w:szCs w:val="24"/>
              </w:rPr>
              <w:t>120</w:t>
            </w:r>
            <w:r w:rsidRPr="00092B56">
              <w:rPr>
                <w:rFonts w:asciiTheme="minorBidi" w:hAnsiTheme="minorBidi"/>
                <w:sz w:val="24"/>
                <w:szCs w:val="24"/>
              </w:rPr>
              <w:t>–</w:t>
            </w:r>
            <w:r>
              <w:rPr>
                <w:rFonts w:asciiTheme="minorBidi" w:hAnsiTheme="minorBidi"/>
                <w:sz w:val="24"/>
                <w:szCs w:val="24"/>
              </w:rPr>
              <w:t>265</w:t>
            </w:r>
          </w:p>
        </w:tc>
        <w:tc>
          <w:tcPr>
            <w:tcW w:w="1768" w:type="dxa"/>
            <w:tcBorders>
              <w:top w:val="nil"/>
              <w:left w:val="nil"/>
              <w:bottom w:val="nil"/>
              <w:right w:val="single" w:sz="4" w:space="0" w:color="auto"/>
            </w:tcBorders>
            <w:shd w:val="clear" w:color="auto" w:fill="auto"/>
            <w:vAlign w:val="center"/>
          </w:tcPr>
          <w:p w14:paraId="0D8D8223" w14:textId="46DE7692" w:rsidR="00B5063D" w:rsidRPr="007D064C" w:rsidRDefault="00B5063D" w:rsidP="007D064C">
            <w:pPr>
              <w:ind w:right="321"/>
              <w:jc w:val="right"/>
              <w:rPr>
                <w:rFonts w:ascii="Arial" w:hAnsi="Arial"/>
                <w:color w:val="000000"/>
                <w:sz w:val="24"/>
              </w:rPr>
            </w:pPr>
            <w:r w:rsidRPr="00B5063D">
              <w:rPr>
                <w:rFonts w:ascii="Arial" w:hAnsi="Arial" w:cs="Arial"/>
                <w:color w:val="000000"/>
                <w:sz w:val="24"/>
                <w:szCs w:val="24"/>
              </w:rPr>
              <w:t>278,049</w:t>
            </w:r>
          </w:p>
        </w:tc>
        <w:tc>
          <w:tcPr>
            <w:tcW w:w="1623" w:type="dxa"/>
            <w:tcBorders>
              <w:top w:val="nil"/>
              <w:left w:val="single" w:sz="4" w:space="0" w:color="auto"/>
              <w:bottom w:val="nil"/>
              <w:right w:val="nil"/>
            </w:tcBorders>
            <w:shd w:val="clear" w:color="auto" w:fill="auto"/>
            <w:vAlign w:val="center"/>
          </w:tcPr>
          <w:p w14:paraId="08C62B85" w14:textId="5F779A4D" w:rsidR="00B5063D" w:rsidRPr="007D064C" w:rsidRDefault="00B5063D" w:rsidP="007D064C">
            <w:pPr>
              <w:ind w:right="240"/>
              <w:jc w:val="right"/>
              <w:rPr>
                <w:rFonts w:ascii="Arial" w:hAnsi="Arial" w:cs="Arial"/>
                <w:color w:val="000000"/>
                <w:sz w:val="24"/>
                <w:szCs w:val="24"/>
              </w:rPr>
            </w:pPr>
            <w:r w:rsidRPr="00B5063D">
              <w:rPr>
                <w:rFonts w:ascii="Arial" w:hAnsi="Arial" w:cs="Arial"/>
                <w:color w:val="000000"/>
                <w:sz w:val="24"/>
                <w:szCs w:val="24"/>
              </w:rPr>
              <w:t>3.02</w:t>
            </w:r>
          </w:p>
        </w:tc>
      </w:tr>
      <w:tr w:rsidR="00F142A3" w:rsidRPr="00092B56" w14:paraId="6454B770" w14:textId="77777777" w:rsidTr="000E5BF0">
        <w:trPr>
          <w:trHeight w:val="567"/>
          <w:jc w:val="center"/>
        </w:trPr>
        <w:tc>
          <w:tcPr>
            <w:tcW w:w="1700" w:type="dxa"/>
            <w:tcBorders>
              <w:top w:val="nil"/>
              <w:bottom w:val="nil"/>
            </w:tcBorders>
            <w:shd w:val="clear" w:color="auto" w:fill="auto"/>
            <w:vAlign w:val="center"/>
          </w:tcPr>
          <w:p w14:paraId="1522B355" w14:textId="77777777" w:rsidR="00B5063D" w:rsidRPr="00092B56" w:rsidRDefault="00B5063D" w:rsidP="007D064C">
            <w:pPr>
              <w:keepNext/>
              <w:ind w:right="538"/>
              <w:jc w:val="right"/>
              <w:rPr>
                <w:rFonts w:asciiTheme="minorBidi" w:hAnsiTheme="minorBidi"/>
                <w:b/>
                <w:bCs/>
                <w:sz w:val="24"/>
                <w:szCs w:val="24"/>
                <w:rtl/>
              </w:rPr>
            </w:pPr>
            <w:r w:rsidRPr="00092B56">
              <w:rPr>
                <w:rFonts w:asciiTheme="minorBidi" w:hAnsiTheme="minorBidi"/>
                <w:b/>
                <w:bCs/>
                <w:sz w:val="24"/>
                <w:szCs w:val="24"/>
                <w:rtl/>
              </w:rPr>
              <w:t>3</w:t>
            </w:r>
          </w:p>
        </w:tc>
        <w:tc>
          <w:tcPr>
            <w:tcW w:w="1277" w:type="dxa"/>
            <w:tcBorders>
              <w:top w:val="nil"/>
              <w:bottom w:val="nil"/>
            </w:tcBorders>
            <w:shd w:val="clear" w:color="auto" w:fill="auto"/>
            <w:vAlign w:val="center"/>
          </w:tcPr>
          <w:p w14:paraId="6F468EBB" w14:textId="54A40FD4" w:rsidR="00B5063D" w:rsidRPr="00092B56" w:rsidRDefault="00B5063D" w:rsidP="00B5063D">
            <w:pPr>
              <w:keepNext/>
              <w:ind w:right="284"/>
              <w:jc w:val="right"/>
              <w:rPr>
                <w:rFonts w:asciiTheme="minorBidi" w:hAnsiTheme="minorBidi"/>
                <w:sz w:val="24"/>
                <w:szCs w:val="24"/>
                <w:rtl/>
              </w:rPr>
            </w:pPr>
            <w:r>
              <w:rPr>
                <w:rFonts w:asciiTheme="minorBidi" w:hAnsiTheme="minorBidi"/>
                <w:sz w:val="24"/>
                <w:szCs w:val="24"/>
              </w:rPr>
              <w:t>235</w:t>
            </w:r>
          </w:p>
        </w:tc>
        <w:tc>
          <w:tcPr>
            <w:tcW w:w="1985" w:type="dxa"/>
            <w:tcBorders>
              <w:top w:val="nil"/>
              <w:bottom w:val="nil"/>
            </w:tcBorders>
            <w:vAlign w:val="center"/>
          </w:tcPr>
          <w:p w14:paraId="00DE8763" w14:textId="098D7EF6" w:rsidR="00B5063D" w:rsidRPr="00092B56" w:rsidRDefault="00B5063D" w:rsidP="00B5063D">
            <w:pPr>
              <w:keepNext/>
              <w:ind w:right="113"/>
              <w:jc w:val="right"/>
              <w:rPr>
                <w:rFonts w:asciiTheme="minorBidi" w:hAnsiTheme="minorBidi"/>
                <w:sz w:val="24"/>
                <w:szCs w:val="24"/>
              </w:rPr>
            </w:pPr>
            <w:r>
              <w:rPr>
                <w:rFonts w:asciiTheme="minorBidi" w:hAnsiTheme="minorBidi"/>
                <w:sz w:val="24"/>
                <w:szCs w:val="24"/>
              </w:rPr>
              <w:t>266</w:t>
            </w:r>
            <w:r w:rsidRPr="00092B56">
              <w:rPr>
                <w:rFonts w:asciiTheme="minorBidi" w:hAnsiTheme="minorBidi"/>
                <w:sz w:val="24"/>
                <w:szCs w:val="24"/>
              </w:rPr>
              <w:t>–</w:t>
            </w:r>
            <w:r>
              <w:rPr>
                <w:rFonts w:asciiTheme="minorBidi" w:hAnsiTheme="minorBidi"/>
                <w:sz w:val="24"/>
                <w:szCs w:val="24"/>
              </w:rPr>
              <w:t>500</w:t>
            </w:r>
          </w:p>
        </w:tc>
        <w:tc>
          <w:tcPr>
            <w:tcW w:w="1768" w:type="dxa"/>
            <w:tcBorders>
              <w:top w:val="nil"/>
              <w:left w:val="nil"/>
              <w:bottom w:val="nil"/>
              <w:right w:val="single" w:sz="4" w:space="0" w:color="auto"/>
            </w:tcBorders>
            <w:shd w:val="clear" w:color="auto" w:fill="auto"/>
            <w:vAlign w:val="center"/>
          </w:tcPr>
          <w:p w14:paraId="73FC805B" w14:textId="5EC26FD7" w:rsidR="00B5063D" w:rsidRPr="007D064C" w:rsidRDefault="00B5063D" w:rsidP="007D064C">
            <w:pPr>
              <w:ind w:right="321"/>
              <w:jc w:val="right"/>
              <w:rPr>
                <w:rFonts w:ascii="Arial" w:hAnsi="Arial"/>
                <w:color w:val="000000"/>
                <w:sz w:val="24"/>
              </w:rPr>
            </w:pPr>
            <w:r w:rsidRPr="00B5063D">
              <w:rPr>
                <w:rFonts w:ascii="Arial" w:hAnsi="Arial" w:cs="Arial"/>
                <w:color w:val="000000"/>
                <w:sz w:val="24"/>
                <w:szCs w:val="24"/>
              </w:rPr>
              <w:t>588,934</w:t>
            </w:r>
          </w:p>
        </w:tc>
        <w:tc>
          <w:tcPr>
            <w:tcW w:w="1623" w:type="dxa"/>
            <w:tcBorders>
              <w:top w:val="nil"/>
              <w:left w:val="single" w:sz="4" w:space="0" w:color="auto"/>
              <w:bottom w:val="nil"/>
              <w:right w:val="nil"/>
            </w:tcBorders>
            <w:shd w:val="clear" w:color="auto" w:fill="auto"/>
            <w:vAlign w:val="center"/>
          </w:tcPr>
          <w:p w14:paraId="38D52762" w14:textId="64497E7E" w:rsidR="00B5063D" w:rsidRPr="007D064C" w:rsidRDefault="00B5063D" w:rsidP="007D064C">
            <w:pPr>
              <w:ind w:right="240"/>
              <w:jc w:val="right"/>
              <w:rPr>
                <w:rFonts w:ascii="Arial" w:hAnsi="Arial"/>
                <w:color w:val="000000"/>
                <w:sz w:val="24"/>
              </w:rPr>
            </w:pPr>
            <w:r w:rsidRPr="00B5063D">
              <w:rPr>
                <w:rFonts w:ascii="Arial" w:hAnsi="Arial" w:cs="Arial"/>
                <w:color w:val="000000"/>
                <w:sz w:val="24"/>
                <w:szCs w:val="24"/>
              </w:rPr>
              <w:t>6.39</w:t>
            </w:r>
          </w:p>
        </w:tc>
      </w:tr>
      <w:tr w:rsidR="00F142A3" w:rsidRPr="00092B56" w14:paraId="50A79474" w14:textId="77777777" w:rsidTr="000E5BF0">
        <w:trPr>
          <w:trHeight w:val="567"/>
          <w:jc w:val="center"/>
        </w:trPr>
        <w:tc>
          <w:tcPr>
            <w:tcW w:w="1700" w:type="dxa"/>
            <w:tcBorders>
              <w:top w:val="nil"/>
              <w:bottom w:val="nil"/>
            </w:tcBorders>
            <w:shd w:val="clear" w:color="auto" w:fill="auto"/>
            <w:vAlign w:val="center"/>
          </w:tcPr>
          <w:p w14:paraId="210E1F8D" w14:textId="77777777" w:rsidR="00B5063D" w:rsidRPr="00092B56" w:rsidRDefault="00B5063D" w:rsidP="007D064C">
            <w:pPr>
              <w:ind w:right="538"/>
              <w:jc w:val="right"/>
              <w:rPr>
                <w:rFonts w:asciiTheme="minorBidi" w:hAnsiTheme="minorBidi"/>
                <w:b/>
                <w:bCs/>
                <w:sz w:val="24"/>
                <w:szCs w:val="24"/>
                <w:rtl/>
              </w:rPr>
            </w:pPr>
            <w:r w:rsidRPr="00092B56">
              <w:rPr>
                <w:rFonts w:asciiTheme="minorBidi" w:hAnsiTheme="minorBidi"/>
                <w:b/>
                <w:bCs/>
                <w:sz w:val="24"/>
                <w:szCs w:val="24"/>
                <w:rtl/>
              </w:rPr>
              <w:t>4</w:t>
            </w:r>
          </w:p>
        </w:tc>
        <w:tc>
          <w:tcPr>
            <w:tcW w:w="1277" w:type="dxa"/>
            <w:tcBorders>
              <w:top w:val="nil"/>
              <w:bottom w:val="nil"/>
            </w:tcBorders>
            <w:shd w:val="clear" w:color="auto" w:fill="auto"/>
            <w:vAlign w:val="center"/>
          </w:tcPr>
          <w:p w14:paraId="35DD3239" w14:textId="2222037D" w:rsidR="00B5063D" w:rsidRPr="00092B56" w:rsidRDefault="00B5063D" w:rsidP="00B5063D">
            <w:pPr>
              <w:ind w:right="284"/>
              <w:jc w:val="right"/>
              <w:rPr>
                <w:rFonts w:asciiTheme="minorBidi" w:hAnsiTheme="minorBidi"/>
                <w:sz w:val="24"/>
                <w:szCs w:val="24"/>
                <w:rtl/>
              </w:rPr>
            </w:pPr>
            <w:r w:rsidRPr="00092B56">
              <w:rPr>
                <w:rFonts w:asciiTheme="minorBidi" w:hAnsiTheme="minorBidi"/>
                <w:sz w:val="24"/>
                <w:szCs w:val="24"/>
                <w:rtl/>
              </w:rPr>
              <w:t>21</w:t>
            </w:r>
            <w:r>
              <w:rPr>
                <w:rFonts w:asciiTheme="minorBidi" w:hAnsiTheme="minorBidi"/>
                <w:sz w:val="24"/>
                <w:szCs w:val="24"/>
              </w:rPr>
              <w:t>0</w:t>
            </w:r>
          </w:p>
        </w:tc>
        <w:tc>
          <w:tcPr>
            <w:tcW w:w="1985" w:type="dxa"/>
            <w:tcBorders>
              <w:top w:val="nil"/>
              <w:bottom w:val="nil"/>
            </w:tcBorders>
            <w:vAlign w:val="center"/>
          </w:tcPr>
          <w:p w14:paraId="01DC91EC" w14:textId="50B7C21D" w:rsidR="00B5063D" w:rsidRPr="00092B56" w:rsidRDefault="00B5063D" w:rsidP="00B5063D">
            <w:pPr>
              <w:ind w:right="113"/>
              <w:jc w:val="right"/>
              <w:rPr>
                <w:rFonts w:asciiTheme="minorBidi" w:hAnsiTheme="minorBidi"/>
                <w:sz w:val="24"/>
                <w:szCs w:val="24"/>
              </w:rPr>
            </w:pPr>
            <w:r>
              <w:rPr>
                <w:rFonts w:asciiTheme="minorBidi" w:hAnsiTheme="minorBidi"/>
                <w:sz w:val="24"/>
                <w:szCs w:val="24"/>
              </w:rPr>
              <w:t>501</w:t>
            </w:r>
            <w:r w:rsidRPr="00092B56">
              <w:rPr>
                <w:rFonts w:asciiTheme="minorBidi" w:hAnsiTheme="minorBidi"/>
                <w:sz w:val="24"/>
                <w:szCs w:val="24"/>
              </w:rPr>
              <w:t>–</w:t>
            </w:r>
            <w:r>
              <w:rPr>
                <w:rFonts w:asciiTheme="minorBidi" w:hAnsiTheme="minorBidi"/>
                <w:sz w:val="24"/>
                <w:szCs w:val="24"/>
              </w:rPr>
              <w:t>710</w:t>
            </w:r>
          </w:p>
        </w:tc>
        <w:tc>
          <w:tcPr>
            <w:tcW w:w="1768" w:type="dxa"/>
            <w:tcBorders>
              <w:top w:val="nil"/>
              <w:left w:val="nil"/>
              <w:bottom w:val="nil"/>
              <w:right w:val="single" w:sz="4" w:space="0" w:color="auto"/>
            </w:tcBorders>
            <w:shd w:val="clear" w:color="auto" w:fill="auto"/>
            <w:vAlign w:val="center"/>
          </w:tcPr>
          <w:p w14:paraId="05D6BCB7" w14:textId="475775F0" w:rsidR="00B5063D" w:rsidRPr="007D064C" w:rsidRDefault="00B5063D" w:rsidP="007D064C">
            <w:pPr>
              <w:ind w:right="321"/>
              <w:jc w:val="right"/>
              <w:rPr>
                <w:rFonts w:ascii="Arial" w:hAnsi="Arial"/>
                <w:color w:val="000000"/>
                <w:sz w:val="24"/>
              </w:rPr>
            </w:pPr>
            <w:r w:rsidRPr="00B5063D">
              <w:rPr>
                <w:rFonts w:ascii="Arial" w:hAnsi="Arial" w:cs="Arial"/>
                <w:color w:val="000000"/>
                <w:sz w:val="24"/>
                <w:szCs w:val="24"/>
              </w:rPr>
              <w:t>862,163</w:t>
            </w:r>
          </w:p>
        </w:tc>
        <w:tc>
          <w:tcPr>
            <w:tcW w:w="1623" w:type="dxa"/>
            <w:tcBorders>
              <w:top w:val="nil"/>
              <w:left w:val="single" w:sz="4" w:space="0" w:color="auto"/>
              <w:bottom w:val="nil"/>
              <w:right w:val="nil"/>
            </w:tcBorders>
            <w:shd w:val="clear" w:color="auto" w:fill="auto"/>
            <w:vAlign w:val="center"/>
          </w:tcPr>
          <w:p w14:paraId="1A1271E1" w14:textId="01544691" w:rsidR="00B5063D" w:rsidRPr="007D064C" w:rsidRDefault="00B5063D" w:rsidP="007D064C">
            <w:pPr>
              <w:ind w:right="240"/>
              <w:jc w:val="right"/>
              <w:rPr>
                <w:rFonts w:ascii="Arial" w:hAnsi="Arial"/>
                <w:color w:val="000000"/>
                <w:sz w:val="24"/>
              </w:rPr>
            </w:pPr>
            <w:r w:rsidRPr="007D064C">
              <w:rPr>
                <w:rFonts w:ascii="Arial" w:hAnsi="Arial"/>
                <w:color w:val="000000"/>
                <w:sz w:val="24"/>
              </w:rPr>
              <w:t>9.</w:t>
            </w:r>
            <w:r w:rsidRPr="00B5063D">
              <w:rPr>
                <w:rFonts w:ascii="Arial" w:hAnsi="Arial" w:cs="Arial"/>
                <w:color w:val="000000"/>
                <w:sz w:val="24"/>
                <w:szCs w:val="24"/>
              </w:rPr>
              <w:t>35</w:t>
            </w:r>
          </w:p>
        </w:tc>
      </w:tr>
      <w:tr w:rsidR="00F142A3" w:rsidRPr="00092B56" w14:paraId="7E564001" w14:textId="77777777" w:rsidTr="000E5BF0">
        <w:trPr>
          <w:trHeight w:val="567"/>
          <w:jc w:val="center"/>
        </w:trPr>
        <w:tc>
          <w:tcPr>
            <w:tcW w:w="1700" w:type="dxa"/>
            <w:tcBorders>
              <w:top w:val="nil"/>
              <w:bottom w:val="nil"/>
            </w:tcBorders>
            <w:shd w:val="clear" w:color="auto" w:fill="auto"/>
            <w:vAlign w:val="center"/>
          </w:tcPr>
          <w:p w14:paraId="47F6FAEC" w14:textId="77777777" w:rsidR="00B5063D" w:rsidRPr="00092B56" w:rsidRDefault="00B5063D" w:rsidP="007D064C">
            <w:pPr>
              <w:ind w:right="538"/>
              <w:jc w:val="right"/>
              <w:rPr>
                <w:rFonts w:asciiTheme="minorBidi" w:hAnsiTheme="minorBidi"/>
                <w:b/>
                <w:bCs/>
                <w:sz w:val="24"/>
                <w:szCs w:val="24"/>
                <w:rtl/>
              </w:rPr>
            </w:pPr>
            <w:r w:rsidRPr="00092B56">
              <w:rPr>
                <w:rFonts w:asciiTheme="minorBidi" w:hAnsiTheme="minorBidi"/>
                <w:b/>
                <w:bCs/>
                <w:sz w:val="24"/>
                <w:szCs w:val="24"/>
                <w:rtl/>
              </w:rPr>
              <w:t>5</w:t>
            </w:r>
          </w:p>
        </w:tc>
        <w:tc>
          <w:tcPr>
            <w:tcW w:w="1277" w:type="dxa"/>
            <w:tcBorders>
              <w:top w:val="nil"/>
              <w:bottom w:val="nil"/>
            </w:tcBorders>
            <w:shd w:val="clear" w:color="auto" w:fill="auto"/>
            <w:vAlign w:val="center"/>
          </w:tcPr>
          <w:p w14:paraId="69050A8C" w14:textId="58A3B054" w:rsidR="00B5063D" w:rsidRPr="00092B56" w:rsidRDefault="00B5063D" w:rsidP="00B5063D">
            <w:pPr>
              <w:ind w:right="284"/>
              <w:jc w:val="right"/>
              <w:rPr>
                <w:rFonts w:asciiTheme="minorBidi" w:hAnsiTheme="minorBidi"/>
                <w:sz w:val="24"/>
                <w:szCs w:val="24"/>
                <w:rtl/>
              </w:rPr>
            </w:pPr>
            <w:r>
              <w:rPr>
                <w:rFonts w:asciiTheme="minorBidi" w:hAnsiTheme="minorBidi"/>
                <w:sz w:val="24"/>
                <w:szCs w:val="24"/>
              </w:rPr>
              <w:t>151</w:t>
            </w:r>
          </w:p>
        </w:tc>
        <w:tc>
          <w:tcPr>
            <w:tcW w:w="1985" w:type="dxa"/>
            <w:tcBorders>
              <w:top w:val="nil"/>
              <w:bottom w:val="nil"/>
            </w:tcBorders>
            <w:vAlign w:val="center"/>
          </w:tcPr>
          <w:p w14:paraId="01727C66" w14:textId="4644D0AD" w:rsidR="00B5063D" w:rsidRPr="00092B56" w:rsidRDefault="00B5063D" w:rsidP="00B5063D">
            <w:pPr>
              <w:ind w:right="113"/>
              <w:jc w:val="right"/>
              <w:rPr>
                <w:rFonts w:asciiTheme="minorBidi" w:hAnsiTheme="minorBidi"/>
                <w:sz w:val="24"/>
                <w:szCs w:val="24"/>
              </w:rPr>
            </w:pPr>
            <w:r>
              <w:rPr>
                <w:rFonts w:asciiTheme="minorBidi" w:hAnsiTheme="minorBidi"/>
                <w:sz w:val="24"/>
                <w:szCs w:val="24"/>
              </w:rPr>
              <w:t>711</w:t>
            </w:r>
            <w:r w:rsidRPr="00092B56">
              <w:rPr>
                <w:rFonts w:asciiTheme="minorBidi" w:hAnsiTheme="minorBidi"/>
                <w:sz w:val="24"/>
                <w:szCs w:val="24"/>
              </w:rPr>
              <w:t>–</w:t>
            </w:r>
            <w:r>
              <w:rPr>
                <w:rFonts w:asciiTheme="minorBidi" w:hAnsiTheme="minorBidi"/>
                <w:sz w:val="24"/>
                <w:szCs w:val="24"/>
              </w:rPr>
              <w:t>861</w:t>
            </w:r>
          </w:p>
        </w:tc>
        <w:tc>
          <w:tcPr>
            <w:tcW w:w="1768" w:type="dxa"/>
            <w:tcBorders>
              <w:top w:val="nil"/>
              <w:left w:val="nil"/>
              <w:bottom w:val="nil"/>
              <w:right w:val="single" w:sz="4" w:space="0" w:color="auto"/>
            </w:tcBorders>
            <w:shd w:val="clear" w:color="auto" w:fill="auto"/>
            <w:vAlign w:val="center"/>
          </w:tcPr>
          <w:p w14:paraId="201AF8DF" w14:textId="7B3C76ED" w:rsidR="00B5063D" w:rsidRPr="007D064C" w:rsidRDefault="00B5063D" w:rsidP="007D064C">
            <w:pPr>
              <w:ind w:right="321"/>
              <w:jc w:val="right"/>
              <w:rPr>
                <w:rFonts w:ascii="Arial" w:hAnsi="Arial"/>
                <w:color w:val="000000"/>
                <w:sz w:val="24"/>
              </w:rPr>
            </w:pPr>
            <w:r w:rsidRPr="007D064C">
              <w:rPr>
                <w:rFonts w:ascii="Arial" w:hAnsi="Arial"/>
                <w:color w:val="000000"/>
                <w:sz w:val="24"/>
              </w:rPr>
              <w:t>1,</w:t>
            </w:r>
            <w:r w:rsidRPr="00B5063D">
              <w:rPr>
                <w:rFonts w:ascii="Arial" w:hAnsi="Arial" w:cs="Arial"/>
                <w:color w:val="000000"/>
                <w:sz w:val="24"/>
                <w:szCs w:val="24"/>
              </w:rPr>
              <w:t>223,407</w:t>
            </w:r>
          </w:p>
        </w:tc>
        <w:tc>
          <w:tcPr>
            <w:tcW w:w="1623" w:type="dxa"/>
            <w:tcBorders>
              <w:top w:val="nil"/>
              <w:left w:val="single" w:sz="4" w:space="0" w:color="auto"/>
              <w:bottom w:val="nil"/>
              <w:right w:val="nil"/>
            </w:tcBorders>
            <w:shd w:val="clear" w:color="auto" w:fill="auto"/>
            <w:vAlign w:val="center"/>
          </w:tcPr>
          <w:p w14:paraId="45CA561C" w14:textId="59AB5B2E" w:rsidR="00B5063D" w:rsidRPr="007D064C" w:rsidRDefault="00B5063D" w:rsidP="007D064C">
            <w:pPr>
              <w:ind w:right="240"/>
              <w:jc w:val="right"/>
              <w:rPr>
                <w:rFonts w:ascii="Arial" w:hAnsi="Arial"/>
                <w:color w:val="000000"/>
                <w:sz w:val="24"/>
              </w:rPr>
            </w:pPr>
            <w:r w:rsidRPr="00B5063D">
              <w:rPr>
                <w:rFonts w:ascii="Arial" w:hAnsi="Arial" w:cs="Arial"/>
                <w:color w:val="000000"/>
                <w:sz w:val="24"/>
                <w:szCs w:val="24"/>
              </w:rPr>
              <w:t>13.27</w:t>
            </w:r>
          </w:p>
        </w:tc>
      </w:tr>
      <w:tr w:rsidR="00F142A3" w:rsidRPr="00092B56" w14:paraId="33208380" w14:textId="77777777" w:rsidTr="000E5BF0">
        <w:trPr>
          <w:trHeight w:val="567"/>
          <w:jc w:val="center"/>
        </w:trPr>
        <w:tc>
          <w:tcPr>
            <w:tcW w:w="1700" w:type="dxa"/>
            <w:tcBorders>
              <w:top w:val="nil"/>
              <w:bottom w:val="nil"/>
            </w:tcBorders>
            <w:shd w:val="clear" w:color="auto" w:fill="auto"/>
            <w:vAlign w:val="center"/>
          </w:tcPr>
          <w:p w14:paraId="4DE267FD" w14:textId="77777777" w:rsidR="00B5063D" w:rsidRPr="00092B56" w:rsidRDefault="00B5063D" w:rsidP="007D064C">
            <w:pPr>
              <w:ind w:right="538"/>
              <w:jc w:val="right"/>
              <w:rPr>
                <w:rFonts w:asciiTheme="minorBidi" w:hAnsiTheme="minorBidi"/>
                <w:b/>
                <w:bCs/>
                <w:sz w:val="24"/>
                <w:szCs w:val="24"/>
                <w:rtl/>
              </w:rPr>
            </w:pPr>
            <w:r w:rsidRPr="00092B56">
              <w:rPr>
                <w:rFonts w:asciiTheme="minorBidi" w:hAnsiTheme="minorBidi"/>
                <w:b/>
                <w:bCs/>
                <w:sz w:val="24"/>
                <w:szCs w:val="24"/>
                <w:rtl/>
              </w:rPr>
              <w:t>6</w:t>
            </w:r>
          </w:p>
        </w:tc>
        <w:tc>
          <w:tcPr>
            <w:tcW w:w="1277" w:type="dxa"/>
            <w:tcBorders>
              <w:top w:val="nil"/>
              <w:bottom w:val="nil"/>
            </w:tcBorders>
            <w:shd w:val="clear" w:color="auto" w:fill="auto"/>
            <w:vAlign w:val="center"/>
          </w:tcPr>
          <w:p w14:paraId="01BC380B" w14:textId="39CC7D21" w:rsidR="00B5063D" w:rsidRPr="00092B56" w:rsidRDefault="00B5063D" w:rsidP="00B5063D">
            <w:pPr>
              <w:ind w:right="284"/>
              <w:jc w:val="right"/>
              <w:rPr>
                <w:rFonts w:asciiTheme="minorBidi" w:hAnsiTheme="minorBidi"/>
                <w:sz w:val="24"/>
                <w:szCs w:val="24"/>
                <w:rtl/>
              </w:rPr>
            </w:pPr>
            <w:r>
              <w:rPr>
                <w:rFonts w:asciiTheme="minorBidi" w:hAnsiTheme="minorBidi"/>
                <w:sz w:val="24"/>
                <w:szCs w:val="24"/>
              </w:rPr>
              <w:t>233</w:t>
            </w:r>
          </w:p>
        </w:tc>
        <w:tc>
          <w:tcPr>
            <w:tcW w:w="1985" w:type="dxa"/>
            <w:tcBorders>
              <w:top w:val="nil"/>
              <w:bottom w:val="nil"/>
            </w:tcBorders>
            <w:vAlign w:val="center"/>
          </w:tcPr>
          <w:p w14:paraId="2CBEBD63" w14:textId="2298D1B5" w:rsidR="00B5063D" w:rsidRPr="00092B56" w:rsidRDefault="00B5063D" w:rsidP="00B5063D">
            <w:pPr>
              <w:ind w:right="113"/>
              <w:jc w:val="right"/>
              <w:rPr>
                <w:rFonts w:asciiTheme="minorBidi" w:hAnsiTheme="minorBidi"/>
                <w:sz w:val="24"/>
                <w:szCs w:val="24"/>
              </w:rPr>
            </w:pPr>
            <w:r>
              <w:rPr>
                <w:rFonts w:asciiTheme="minorBidi" w:hAnsiTheme="minorBidi"/>
                <w:sz w:val="24"/>
                <w:szCs w:val="24"/>
              </w:rPr>
              <w:t>862</w:t>
            </w:r>
            <w:r w:rsidRPr="00092B56">
              <w:rPr>
                <w:rFonts w:asciiTheme="minorBidi" w:hAnsiTheme="minorBidi"/>
                <w:sz w:val="24"/>
                <w:szCs w:val="24"/>
              </w:rPr>
              <w:t>–1</w:t>
            </w:r>
            <w:r w:rsidR="000E5BF0">
              <w:rPr>
                <w:rFonts w:asciiTheme="minorBidi" w:hAnsiTheme="minorBidi"/>
                <w:sz w:val="24"/>
                <w:szCs w:val="24"/>
              </w:rPr>
              <w:t>,</w:t>
            </w:r>
            <w:r w:rsidRPr="00092B56">
              <w:rPr>
                <w:rFonts w:asciiTheme="minorBidi" w:hAnsiTheme="minorBidi"/>
                <w:sz w:val="24"/>
                <w:szCs w:val="24"/>
              </w:rPr>
              <w:t>0</w:t>
            </w:r>
            <w:r>
              <w:rPr>
                <w:rFonts w:asciiTheme="minorBidi" w:hAnsiTheme="minorBidi"/>
                <w:sz w:val="24"/>
                <w:szCs w:val="24"/>
              </w:rPr>
              <w:t>9</w:t>
            </w:r>
            <w:r w:rsidRPr="00092B56">
              <w:rPr>
                <w:rFonts w:asciiTheme="minorBidi" w:hAnsiTheme="minorBidi"/>
                <w:sz w:val="24"/>
                <w:szCs w:val="24"/>
              </w:rPr>
              <w:t xml:space="preserve">4 </w:t>
            </w:r>
          </w:p>
        </w:tc>
        <w:tc>
          <w:tcPr>
            <w:tcW w:w="1768" w:type="dxa"/>
            <w:tcBorders>
              <w:top w:val="nil"/>
              <w:left w:val="nil"/>
              <w:bottom w:val="nil"/>
              <w:right w:val="single" w:sz="4" w:space="0" w:color="auto"/>
            </w:tcBorders>
            <w:shd w:val="clear" w:color="auto" w:fill="auto"/>
            <w:vAlign w:val="center"/>
          </w:tcPr>
          <w:p w14:paraId="2C744C12" w14:textId="2F8FE254" w:rsidR="00B5063D" w:rsidRPr="007D064C" w:rsidRDefault="00B5063D" w:rsidP="007D064C">
            <w:pPr>
              <w:ind w:right="321"/>
              <w:jc w:val="right"/>
              <w:rPr>
                <w:rFonts w:ascii="Arial" w:hAnsi="Arial"/>
                <w:color w:val="000000"/>
                <w:sz w:val="24"/>
                <w:lang w:val="en-US"/>
              </w:rPr>
            </w:pPr>
            <w:r w:rsidRPr="00B5063D">
              <w:rPr>
                <w:rFonts w:ascii="Arial" w:hAnsi="Arial" w:cs="Arial"/>
                <w:color w:val="000000"/>
                <w:sz w:val="24"/>
                <w:szCs w:val="24"/>
              </w:rPr>
              <w:t>1,659,219</w:t>
            </w:r>
          </w:p>
        </w:tc>
        <w:tc>
          <w:tcPr>
            <w:tcW w:w="1623" w:type="dxa"/>
            <w:tcBorders>
              <w:top w:val="nil"/>
              <w:left w:val="single" w:sz="4" w:space="0" w:color="auto"/>
              <w:bottom w:val="nil"/>
              <w:right w:val="nil"/>
            </w:tcBorders>
            <w:shd w:val="clear" w:color="auto" w:fill="auto"/>
            <w:vAlign w:val="center"/>
          </w:tcPr>
          <w:p w14:paraId="04971580" w14:textId="3DEA7E5E" w:rsidR="00B5063D" w:rsidRPr="007D064C" w:rsidRDefault="00B5063D" w:rsidP="007D064C">
            <w:pPr>
              <w:ind w:right="240"/>
              <w:jc w:val="right"/>
              <w:rPr>
                <w:rFonts w:ascii="Arial" w:hAnsi="Arial"/>
                <w:color w:val="000000"/>
                <w:sz w:val="24"/>
              </w:rPr>
            </w:pPr>
            <w:r w:rsidRPr="00B5063D">
              <w:rPr>
                <w:rFonts w:ascii="Arial" w:hAnsi="Arial" w:cs="Arial"/>
                <w:color w:val="000000"/>
                <w:sz w:val="24"/>
                <w:szCs w:val="24"/>
              </w:rPr>
              <w:t>18.00</w:t>
            </w:r>
          </w:p>
        </w:tc>
      </w:tr>
      <w:tr w:rsidR="00F142A3" w:rsidRPr="00092B56" w14:paraId="551821F8" w14:textId="77777777" w:rsidTr="000E5BF0">
        <w:trPr>
          <w:trHeight w:val="567"/>
          <w:jc w:val="center"/>
        </w:trPr>
        <w:tc>
          <w:tcPr>
            <w:tcW w:w="1700" w:type="dxa"/>
            <w:tcBorders>
              <w:top w:val="nil"/>
              <w:bottom w:val="nil"/>
            </w:tcBorders>
            <w:shd w:val="clear" w:color="auto" w:fill="auto"/>
            <w:vAlign w:val="center"/>
          </w:tcPr>
          <w:p w14:paraId="0161A197" w14:textId="77777777" w:rsidR="00B5063D" w:rsidRPr="00092B56" w:rsidRDefault="00B5063D" w:rsidP="007D064C">
            <w:pPr>
              <w:ind w:right="538"/>
              <w:jc w:val="right"/>
              <w:rPr>
                <w:rFonts w:asciiTheme="minorBidi" w:hAnsiTheme="minorBidi"/>
                <w:b/>
                <w:bCs/>
                <w:sz w:val="24"/>
                <w:szCs w:val="24"/>
                <w:rtl/>
              </w:rPr>
            </w:pPr>
            <w:r w:rsidRPr="00092B56">
              <w:rPr>
                <w:rFonts w:asciiTheme="minorBidi" w:hAnsiTheme="minorBidi"/>
                <w:b/>
                <w:bCs/>
                <w:sz w:val="24"/>
                <w:szCs w:val="24"/>
                <w:rtl/>
              </w:rPr>
              <w:t>7</w:t>
            </w:r>
          </w:p>
        </w:tc>
        <w:tc>
          <w:tcPr>
            <w:tcW w:w="1277" w:type="dxa"/>
            <w:tcBorders>
              <w:top w:val="nil"/>
              <w:bottom w:val="nil"/>
            </w:tcBorders>
            <w:shd w:val="clear" w:color="auto" w:fill="auto"/>
            <w:vAlign w:val="center"/>
          </w:tcPr>
          <w:p w14:paraId="1980DA66" w14:textId="6500C917" w:rsidR="00B5063D" w:rsidRPr="00092B56" w:rsidRDefault="00B5063D" w:rsidP="00B5063D">
            <w:pPr>
              <w:ind w:right="284"/>
              <w:jc w:val="right"/>
              <w:rPr>
                <w:rFonts w:asciiTheme="minorBidi" w:hAnsiTheme="minorBidi"/>
                <w:sz w:val="24"/>
                <w:szCs w:val="24"/>
                <w:rtl/>
              </w:rPr>
            </w:pPr>
            <w:r>
              <w:rPr>
                <w:rFonts w:asciiTheme="minorBidi" w:hAnsiTheme="minorBidi"/>
                <w:sz w:val="24"/>
                <w:szCs w:val="24"/>
              </w:rPr>
              <w:t>5</w:t>
            </w:r>
            <w:r w:rsidRPr="00092B56">
              <w:rPr>
                <w:rFonts w:asciiTheme="minorBidi" w:hAnsiTheme="minorBidi"/>
                <w:sz w:val="24"/>
                <w:szCs w:val="24"/>
                <w:rtl/>
              </w:rPr>
              <w:t>6</w:t>
            </w:r>
          </w:p>
        </w:tc>
        <w:tc>
          <w:tcPr>
            <w:tcW w:w="1985" w:type="dxa"/>
            <w:tcBorders>
              <w:top w:val="nil"/>
              <w:bottom w:val="nil"/>
            </w:tcBorders>
            <w:vAlign w:val="center"/>
          </w:tcPr>
          <w:p w14:paraId="7F474BE6" w14:textId="4E2B1D77" w:rsidR="00B5063D" w:rsidRPr="00092B56" w:rsidRDefault="00B5063D" w:rsidP="00B5063D">
            <w:pPr>
              <w:ind w:right="113"/>
              <w:jc w:val="right"/>
              <w:rPr>
                <w:rFonts w:asciiTheme="minorBidi" w:hAnsiTheme="minorBidi"/>
                <w:sz w:val="24"/>
                <w:szCs w:val="24"/>
              </w:rPr>
            </w:pPr>
            <w:r w:rsidRPr="00092B56">
              <w:rPr>
                <w:rFonts w:asciiTheme="minorBidi" w:hAnsiTheme="minorBidi"/>
                <w:sz w:val="24"/>
                <w:szCs w:val="24"/>
              </w:rPr>
              <w:t>1</w:t>
            </w:r>
            <w:r w:rsidR="000E5BF0">
              <w:rPr>
                <w:rFonts w:asciiTheme="minorBidi" w:hAnsiTheme="minorBidi"/>
                <w:sz w:val="24"/>
                <w:szCs w:val="24"/>
              </w:rPr>
              <w:t>,</w:t>
            </w:r>
            <w:r w:rsidRPr="00092B56">
              <w:rPr>
                <w:rFonts w:asciiTheme="minorBidi" w:hAnsiTheme="minorBidi"/>
                <w:sz w:val="24"/>
                <w:szCs w:val="24"/>
              </w:rPr>
              <w:t>0</w:t>
            </w:r>
            <w:r>
              <w:rPr>
                <w:rFonts w:asciiTheme="minorBidi" w:hAnsiTheme="minorBidi"/>
                <w:sz w:val="24"/>
                <w:szCs w:val="24"/>
              </w:rPr>
              <w:t>9</w:t>
            </w:r>
            <w:r w:rsidRPr="00092B56">
              <w:rPr>
                <w:rFonts w:asciiTheme="minorBidi" w:hAnsiTheme="minorBidi"/>
                <w:sz w:val="24"/>
                <w:szCs w:val="24"/>
              </w:rPr>
              <w:t>5–1</w:t>
            </w:r>
            <w:r w:rsidR="000E5BF0">
              <w:rPr>
                <w:rFonts w:asciiTheme="minorBidi" w:hAnsiTheme="minorBidi"/>
                <w:sz w:val="24"/>
                <w:szCs w:val="24"/>
              </w:rPr>
              <w:t>,</w:t>
            </w:r>
            <w:r w:rsidRPr="00092B56">
              <w:rPr>
                <w:rFonts w:asciiTheme="minorBidi" w:hAnsiTheme="minorBidi"/>
                <w:sz w:val="24"/>
                <w:szCs w:val="24"/>
              </w:rPr>
              <w:t>1</w:t>
            </w:r>
            <w:r>
              <w:rPr>
                <w:rFonts w:asciiTheme="minorBidi" w:hAnsiTheme="minorBidi"/>
                <w:sz w:val="24"/>
                <w:szCs w:val="24"/>
              </w:rPr>
              <w:t>5</w:t>
            </w:r>
            <w:r w:rsidRPr="00092B56">
              <w:rPr>
                <w:rFonts w:asciiTheme="minorBidi" w:hAnsiTheme="minorBidi"/>
                <w:sz w:val="24"/>
                <w:szCs w:val="24"/>
              </w:rPr>
              <w:t xml:space="preserve">0 </w:t>
            </w:r>
          </w:p>
        </w:tc>
        <w:tc>
          <w:tcPr>
            <w:tcW w:w="1768" w:type="dxa"/>
            <w:tcBorders>
              <w:top w:val="nil"/>
              <w:left w:val="nil"/>
              <w:bottom w:val="nil"/>
              <w:right w:val="single" w:sz="4" w:space="0" w:color="auto"/>
            </w:tcBorders>
            <w:shd w:val="clear" w:color="auto" w:fill="auto"/>
            <w:vAlign w:val="center"/>
          </w:tcPr>
          <w:p w14:paraId="6D37C1E2" w14:textId="37897776" w:rsidR="00B5063D" w:rsidRPr="007D064C" w:rsidRDefault="00B5063D" w:rsidP="007D064C">
            <w:pPr>
              <w:ind w:right="321"/>
              <w:jc w:val="right"/>
              <w:rPr>
                <w:rFonts w:ascii="Arial" w:hAnsi="Arial"/>
                <w:color w:val="000000"/>
                <w:sz w:val="24"/>
              </w:rPr>
            </w:pPr>
            <w:r w:rsidRPr="00B5063D">
              <w:rPr>
                <w:rFonts w:ascii="Arial" w:hAnsi="Arial" w:cs="Arial"/>
                <w:color w:val="000000"/>
                <w:sz w:val="24"/>
                <w:szCs w:val="24"/>
              </w:rPr>
              <w:t>679,794</w:t>
            </w:r>
          </w:p>
        </w:tc>
        <w:tc>
          <w:tcPr>
            <w:tcW w:w="1623" w:type="dxa"/>
            <w:tcBorders>
              <w:top w:val="nil"/>
              <w:left w:val="single" w:sz="4" w:space="0" w:color="auto"/>
              <w:bottom w:val="nil"/>
              <w:right w:val="nil"/>
            </w:tcBorders>
            <w:shd w:val="clear" w:color="auto" w:fill="auto"/>
            <w:vAlign w:val="center"/>
          </w:tcPr>
          <w:p w14:paraId="0F15DEFC" w14:textId="2FB8C189" w:rsidR="00B5063D" w:rsidRPr="007D064C" w:rsidRDefault="00B5063D" w:rsidP="007D064C">
            <w:pPr>
              <w:ind w:right="240"/>
              <w:jc w:val="right"/>
              <w:rPr>
                <w:rFonts w:ascii="Arial" w:hAnsi="Arial"/>
                <w:color w:val="000000"/>
                <w:sz w:val="24"/>
              </w:rPr>
            </w:pPr>
            <w:r w:rsidRPr="00B5063D">
              <w:rPr>
                <w:rFonts w:ascii="Arial" w:hAnsi="Arial" w:cs="Arial"/>
                <w:color w:val="000000"/>
                <w:sz w:val="24"/>
                <w:szCs w:val="24"/>
              </w:rPr>
              <w:t>7.38</w:t>
            </w:r>
          </w:p>
        </w:tc>
      </w:tr>
      <w:tr w:rsidR="00F142A3" w:rsidRPr="00092B56" w14:paraId="2A3A4807" w14:textId="77777777" w:rsidTr="000E5BF0">
        <w:trPr>
          <w:trHeight w:val="567"/>
          <w:jc w:val="center"/>
        </w:trPr>
        <w:tc>
          <w:tcPr>
            <w:tcW w:w="1700" w:type="dxa"/>
            <w:tcBorders>
              <w:top w:val="nil"/>
              <w:bottom w:val="nil"/>
            </w:tcBorders>
            <w:shd w:val="clear" w:color="auto" w:fill="auto"/>
            <w:vAlign w:val="center"/>
          </w:tcPr>
          <w:p w14:paraId="19DBF852" w14:textId="77777777" w:rsidR="00B5063D" w:rsidRPr="00092B56" w:rsidRDefault="00B5063D" w:rsidP="007D064C">
            <w:pPr>
              <w:ind w:right="538"/>
              <w:jc w:val="right"/>
              <w:rPr>
                <w:rFonts w:asciiTheme="minorBidi" w:hAnsiTheme="minorBidi"/>
                <w:b/>
                <w:bCs/>
                <w:sz w:val="24"/>
                <w:szCs w:val="24"/>
                <w:rtl/>
              </w:rPr>
            </w:pPr>
            <w:r w:rsidRPr="00092B56">
              <w:rPr>
                <w:rFonts w:asciiTheme="minorBidi" w:hAnsiTheme="minorBidi"/>
                <w:b/>
                <w:bCs/>
                <w:sz w:val="24"/>
                <w:szCs w:val="24"/>
                <w:rtl/>
              </w:rPr>
              <w:t>8</w:t>
            </w:r>
          </w:p>
        </w:tc>
        <w:tc>
          <w:tcPr>
            <w:tcW w:w="1277" w:type="dxa"/>
            <w:tcBorders>
              <w:top w:val="nil"/>
              <w:bottom w:val="nil"/>
            </w:tcBorders>
            <w:shd w:val="clear" w:color="auto" w:fill="auto"/>
            <w:vAlign w:val="center"/>
          </w:tcPr>
          <w:p w14:paraId="26D2115F" w14:textId="069CE828" w:rsidR="00B5063D" w:rsidRPr="00092B56" w:rsidRDefault="00B5063D" w:rsidP="00B5063D">
            <w:pPr>
              <w:ind w:right="284"/>
              <w:jc w:val="right"/>
              <w:rPr>
                <w:rFonts w:asciiTheme="minorBidi" w:hAnsiTheme="minorBidi"/>
                <w:sz w:val="24"/>
                <w:szCs w:val="24"/>
                <w:rtl/>
              </w:rPr>
            </w:pPr>
            <w:r>
              <w:rPr>
                <w:rFonts w:asciiTheme="minorBidi" w:hAnsiTheme="minorBidi"/>
                <w:sz w:val="24"/>
                <w:szCs w:val="24"/>
              </w:rPr>
              <w:t>46</w:t>
            </w:r>
          </w:p>
        </w:tc>
        <w:tc>
          <w:tcPr>
            <w:tcW w:w="1985" w:type="dxa"/>
            <w:tcBorders>
              <w:top w:val="nil"/>
              <w:bottom w:val="nil"/>
            </w:tcBorders>
            <w:vAlign w:val="center"/>
          </w:tcPr>
          <w:p w14:paraId="63F12A19" w14:textId="5C494700" w:rsidR="00B5063D" w:rsidRPr="00092B56" w:rsidRDefault="00B5063D" w:rsidP="00B5063D">
            <w:pPr>
              <w:ind w:right="113"/>
              <w:jc w:val="right"/>
              <w:rPr>
                <w:rFonts w:asciiTheme="minorBidi" w:hAnsiTheme="minorBidi"/>
                <w:sz w:val="24"/>
                <w:szCs w:val="24"/>
              </w:rPr>
            </w:pPr>
            <w:r w:rsidRPr="00092B56">
              <w:rPr>
                <w:rFonts w:asciiTheme="minorBidi" w:hAnsiTheme="minorBidi"/>
                <w:sz w:val="24"/>
                <w:szCs w:val="24"/>
              </w:rPr>
              <w:t>1</w:t>
            </w:r>
            <w:r w:rsidR="000E5BF0">
              <w:rPr>
                <w:rFonts w:asciiTheme="minorBidi" w:hAnsiTheme="minorBidi"/>
                <w:sz w:val="24"/>
                <w:szCs w:val="24"/>
              </w:rPr>
              <w:t>,</w:t>
            </w:r>
            <w:r w:rsidRPr="00092B56">
              <w:rPr>
                <w:rFonts w:asciiTheme="minorBidi" w:hAnsiTheme="minorBidi"/>
                <w:sz w:val="24"/>
                <w:szCs w:val="24"/>
              </w:rPr>
              <w:t>1</w:t>
            </w:r>
            <w:r>
              <w:rPr>
                <w:rFonts w:asciiTheme="minorBidi" w:hAnsiTheme="minorBidi"/>
                <w:sz w:val="24"/>
                <w:szCs w:val="24"/>
              </w:rPr>
              <w:t>5</w:t>
            </w:r>
            <w:r w:rsidRPr="00092B56">
              <w:rPr>
                <w:rFonts w:asciiTheme="minorBidi" w:hAnsiTheme="minorBidi"/>
                <w:sz w:val="24"/>
                <w:szCs w:val="24"/>
              </w:rPr>
              <w:t>1–1</w:t>
            </w:r>
            <w:r w:rsidR="000E5BF0">
              <w:rPr>
                <w:rFonts w:asciiTheme="minorBidi" w:hAnsiTheme="minorBidi"/>
                <w:sz w:val="24"/>
                <w:szCs w:val="24"/>
              </w:rPr>
              <w:t>,</w:t>
            </w:r>
            <w:r w:rsidRPr="00092B56">
              <w:rPr>
                <w:rFonts w:asciiTheme="minorBidi" w:hAnsiTheme="minorBidi"/>
                <w:sz w:val="24"/>
                <w:szCs w:val="24"/>
              </w:rPr>
              <w:t>19</w:t>
            </w:r>
            <w:r>
              <w:rPr>
                <w:rFonts w:asciiTheme="minorBidi" w:hAnsiTheme="minorBidi"/>
                <w:sz w:val="24"/>
                <w:szCs w:val="24"/>
              </w:rPr>
              <w:t>6</w:t>
            </w:r>
          </w:p>
        </w:tc>
        <w:tc>
          <w:tcPr>
            <w:tcW w:w="1768" w:type="dxa"/>
            <w:tcBorders>
              <w:top w:val="nil"/>
              <w:left w:val="nil"/>
              <w:bottom w:val="nil"/>
              <w:right w:val="single" w:sz="4" w:space="0" w:color="auto"/>
            </w:tcBorders>
            <w:shd w:val="clear" w:color="auto" w:fill="auto"/>
            <w:vAlign w:val="center"/>
          </w:tcPr>
          <w:p w14:paraId="35E8F0F3" w14:textId="574AF592" w:rsidR="00B5063D" w:rsidRPr="007D064C" w:rsidRDefault="00B5063D" w:rsidP="007D064C">
            <w:pPr>
              <w:ind w:right="321"/>
              <w:jc w:val="right"/>
              <w:rPr>
                <w:rFonts w:ascii="Arial" w:hAnsi="Arial"/>
                <w:color w:val="000000"/>
                <w:sz w:val="24"/>
              </w:rPr>
            </w:pPr>
            <w:r w:rsidRPr="00B5063D">
              <w:rPr>
                <w:rFonts w:ascii="Arial" w:hAnsi="Arial" w:cs="Arial"/>
                <w:color w:val="000000"/>
                <w:sz w:val="24"/>
                <w:szCs w:val="24"/>
              </w:rPr>
              <w:t>947,290</w:t>
            </w:r>
          </w:p>
        </w:tc>
        <w:tc>
          <w:tcPr>
            <w:tcW w:w="1623" w:type="dxa"/>
            <w:tcBorders>
              <w:top w:val="nil"/>
              <w:left w:val="single" w:sz="4" w:space="0" w:color="auto"/>
              <w:bottom w:val="nil"/>
              <w:right w:val="nil"/>
            </w:tcBorders>
            <w:shd w:val="clear" w:color="auto" w:fill="auto"/>
            <w:vAlign w:val="center"/>
          </w:tcPr>
          <w:p w14:paraId="44707B62" w14:textId="71BBC6D1" w:rsidR="00B5063D" w:rsidRPr="007D064C" w:rsidRDefault="00B5063D" w:rsidP="007D064C">
            <w:pPr>
              <w:ind w:right="240"/>
              <w:jc w:val="right"/>
              <w:rPr>
                <w:rFonts w:ascii="Arial" w:hAnsi="Arial"/>
                <w:color w:val="000000"/>
                <w:sz w:val="24"/>
              </w:rPr>
            </w:pPr>
            <w:r w:rsidRPr="00B5063D">
              <w:rPr>
                <w:rFonts w:ascii="Arial" w:hAnsi="Arial" w:cs="Arial"/>
                <w:color w:val="000000"/>
                <w:sz w:val="24"/>
                <w:szCs w:val="24"/>
              </w:rPr>
              <w:t>10.28</w:t>
            </w:r>
          </w:p>
        </w:tc>
      </w:tr>
      <w:tr w:rsidR="00F142A3" w:rsidRPr="00092B56" w14:paraId="78EF7B68" w14:textId="77777777" w:rsidTr="000E5BF0">
        <w:trPr>
          <w:trHeight w:val="567"/>
          <w:jc w:val="center"/>
        </w:trPr>
        <w:tc>
          <w:tcPr>
            <w:tcW w:w="1700" w:type="dxa"/>
            <w:tcBorders>
              <w:top w:val="nil"/>
              <w:bottom w:val="nil"/>
            </w:tcBorders>
            <w:shd w:val="clear" w:color="auto" w:fill="auto"/>
            <w:vAlign w:val="center"/>
          </w:tcPr>
          <w:p w14:paraId="18E9FDD3" w14:textId="77777777" w:rsidR="00B5063D" w:rsidRPr="00092B56" w:rsidRDefault="00B5063D" w:rsidP="007D064C">
            <w:pPr>
              <w:ind w:right="538"/>
              <w:jc w:val="right"/>
              <w:rPr>
                <w:rFonts w:asciiTheme="minorBidi" w:hAnsiTheme="minorBidi"/>
                <w:b/>
                <w:bCs/>
                <w:sz w:val="24"/>
                <w:szCs w:val="24"/>
                <w:rtl/>
              </w:rPr>
            </w:pPr>
            <w:r w:rsidRPr="00092B56">
              <w:rPr>
                <w:rFonts w:asciiTheme="minorBidi" w:hAnsiTheme="minorBidi"/>
                <w:b/>
                <w:bCs/>
                <w:sz w:val="24"/>
                <w:szCs w:val="24"/>
                <w:rtl/>
              </w:rPr>
              <w:t>9</w:t>
            </w:r>
          </w:p>
        </w:tc>
        <w:tc>
          <w:tcPr>
            <w:tcW w:w="1277" w:type="dxa"/>
            <w:tcBorders>
              <w:top w:val="nil"/>
              <w:bottom w:val="nil"/>
            </w:tcBorders>
            <w:shd w:val="clear" w:color="auto" w:fill="auto"/>
            <w:vAlign w:val="center"/>
          </w:tcPr>
          <w:p w14:paraId="63BB53DA" w14:textId="5D59F845" w:rsidR="00B5063D" w:rsidRPr="00092B56" w:rsidRDefault="00B5063D" w:rsidP="00B5063D">
            <w:pPr>
              <w:ind w:right="284"/>
              <w:jc w:val="right"/>
              <w:rPr>
                <w:rFonts w:asciiTheme="minorBidi" w:hAnsiTheme="minorBidi"/>
                <w:sz w:val="24"/>
                <w:szCs w:val="24"/>
                <w:rtl/>
              </w:rPr>
            </w:pPr>
            <w:r w:rsidRPr="00092B56">
              <w:rPr>
                <w:rFonts w:asciiTheme="minorBidi" w:hAnsiTheme="minorBidi"/>
                <w:sz w:val="24"/>
                <w:szCs w:val="24"/>
                <w:rtl/>
              </w:rPr>
              <w:t>1</w:t>
            </w:r>
            <w:r>
              <w:rPr>
                <w:rFonts w:asciiTheme="minorBidi" w:hAnsiTheme="minorBidi"/>
                <w:sz w:val="24"/>
                <w:szCs w:val="24"/>
              </w:rPr>
              <w:t>2</w:t>
            </w:r>
          </w:p>
        </w:tc>
        <w:tc>
          <w:tcPr>
            <w:tcW w:w="1985" w:type="dxa"/>
            <w:tcBorders>
              <w:top w:val="nil"/>
              <w:bottom w:val="nil"/>
            </w:tcBorders>
            <w:vAlign w:val="center"/>
          </w:tcPr>
          <w:p w14:paraId="248CC7FC" w14:textId="34514BE9" w:rsidR="00B5063D" w:rsidRPr="00092B56" w:rsidRDefault="00B5063D" w:rsidP="00B5063D">
            <w:pPr>
              <w:ind w:right="113"/>
              <w:jc w:val="right"/>
              <w:rPr>
                <w:rFonts w:asciiTheme="minorBidi" w:hAnsiTheme="minorBidi"/>
                <w:sz w:val="24"/>
                <w:szCs w:val="24"/>
              </w:rPr>
            </w:pPr>
            <w:r w:rsidRPr="00092B56">
              <w:rPr>
                <w:rFonts w:asciiTheme="minorBidi" w:hAnsiTheme="minorBidi"/>
                <w:sz w:val="24"/>
                <w:szCs w:val="24"/>
              </w:rPr>
              <w:t>1</w:t>
            </w:r>
            <w:r w:rsidR="000E5BF0">
              <w:rPr>
                <w:rFonts w:asciiTheme="minorBidi" w:hAnsiTheme="minorBidi"/>
                <w:sz w:val="24"/>
                <w:szCs w:val="24"/>
              </w:rPr>
              <w:t>,</w:t>
            </w:r>
            <w:r w:rsidRPr="00092B56">
              <w:rPr>
                <w:rFonts w:asciiTheme="minorBidi" w:hAnsiTheme="minorBidi"/>
                <w:sz w:val="24"/>
                <w:szCs w:val="24"/>
              </w:rPr>
              <w:t>19</w:t>
            </w:r>
            <w:r>
              <w:rPr>
                <w:rFonts w:asciiTheme="minorBidi" w:hAnsiTheme="minorBidi"/>
                <w:sz w:val="24"/>
                <w:szCs w:val="24"/>
              </w:rPr>
              <w:t>7</w:t>
            </w:r>
            <w:r w:rsidRPr="00092B56">
              <w:rPr>
                <w:rFonts w:asciiTheme="minorBidi" w:hAnsiTheme="minorBidi"/>
                <w:sz w:val="24"/>
                <w:szCs w:val="24"/>
              </w:rPr>
              <w:t>–1</w:t>
            </w:r>
            <w:r w:rsidR="000E5BF0">
              <w:rPr>
                <w:rFonts w:asciiTheme="minorBidi" w:hAnsiTheme="minorBidi"/>
                <w:sz w:val="24"/>
                <w:szCs w:val="24"/>
              </w:rPr>
              <w:t>,</w:t>
            </w:r>
            <w:r w:rsidRPr="00092B56">
              <w:rPr>
                <w:rFonts w:asciiTheme="minorBidi" w:hAnsiTheme="minorBidi"/>
                <w:sz w:val="24"/>
                <w:szCs w:val="24"/>
              </w:rPr>
              <w:t>20</w:t>
            </w:r>
            <w:r>
              <w:rPr>
                <w:rFonts w:asciiTheme="minorBidi" w:hAnsiTheme="minorBidi"/>
                <w:sz w:val="24"/>
                <w:szCs w:val="24"/>
              </w:rPr>
              <w:t>8</w:t>
            </w:r>
          </w:p>
        </w:tc>
        <w:tc>
          <w:tcPr>
            <w:tcW w:w="1768" w:type="dxa"/>
            <w:tcBorders>
              <w:top w:val="nil"/>
              <w:left w:val="nil"/>
              <w:bottom w:val="nil"/>
              <w:right w:val="single" w:sz="4" w:space="0" w:color="auto"/>
            </w:tcBorders>
            <w:shd w:val="clear" w:color="auto" w:fill="auto"/>
            <w:vAlign w:val="center"/>
          </w:tcPr>
          <w:p w14:paraId="47E0D6B4" w14:textId="270CB4B3" w:rsidR="00B5063D" w:rsidRPr="007D064C" w:rsidRDefault="00B5063D" w:rsidP="007D064C">
            <w:pPr>
              <w:ind w:right="321"/>
              <w:jc w:val="right"/>
              <w:rPr>
                <w:rFonts w:ascii="Arial" w:hAnsi="Arial"/>
                <w:color w:val="000000"/>
                <w:sz w:val="24"/>
              </w:rPr>
            </w:pPr>
            <w:r w:rsidRPr="007D064C">
              <w:rPr>
                <w:rFonts w:ascii="Arial" w:hAnsi="Arial"/>
                <w:color w:val="000000"/>
                <w:sz w:val="24"/>
              </w:rPr>
              <w:t>1,</w:t>
            </w:r>
            <w:r w:rsidRPr="00B5063D">
              <w:rPr>
                <w:rFonts w:ascii="Arial" w:hAnsi="Arial" w:cs="Arial"/>
                <w:color w:val="000000"/>
                <w:sz w:val="24"/>
                <w:szCs w:val="24"/>
              </w:rPr>
              <w:t>864,705</w:t>
            </w:r>
          </w:p>
        </w:tc>
        <w:tc>
          <w:tcPr>
            <w:tcW w:w="1623" w:type="dxa"/>
            <w:tcBorders>
              <w:top w:val="nil"/>
              <w:left w:val="single" w:sz="4" w:space="0" w:color="auto"/>
              <w:bottom w:val="nil"/>
              <w:right w:val="nil"/>
            </w:tcBorders>
            <w:shd w:val="clear" w:color="auto" w:fill="auto"/>
            <w:vAlign w:val="center"/>
          </w:tcPr>
          <w:p w14:paraId="17998E29" w14:textId="2D7D0627" w:rsidR="00B5063D" w:rsidRPr="007D064C" w:rsidRDefault="00B5063D" w:rsidP="007D064C">
            <w:pPr>
              <w:ind w:right="240"/>
              <w:jc w:val="right"/>
              <w:rPr>
                <w:rFonts w:ascii="Arial" w:hAnsi="Arial"/>
                <w:color w:val="000000"/>
                <w:sz w:val="24"/>
              </w:rPr>
            </w:pPr>
            <w:r w:rsidRPr="007D064C">
              <w:rPr>
                <w:rFonts w:ascii="Arial" w:hAnsi="Arial"/>
                <w:color w:val="000000"/>
                <w:sz w:val="24"/>
              </w:rPr>
              <w:t>20.</w:t>
            </w:r>
            <w:r w:rsidRPr="00B5063D">
              <w:rPr>
                <w:rFonts w:ascii="Arial" w:hAnsi="Arial" w:cs="Arial"/>
                <w:color w:val="000000"/>
                <w:sz w:val="24"/>
                <w:szCs w:val="24"/>
              </w:rPr>
              <w:t>23</w:t>
            </w:r>
          </w:p>
        </w:tc>
      </w:tr>
      <w:tr w:rsidR="00F142A3" w:rsidRPr="00092B56" w14:paraId="385A7A45" w14:textId="77777777" w:rsidTr="000E5BF0">
        <w:trPr>
          <w:trHeight w:val="567"/>
          <w:jc w:val="center"/>
        </w:trPr>
        <w:tc>
          <w:tcPr>
            <w:tcW w:w="1700" w:type="dxa"/>
            <w:tcBorders>
              <w:top w:val="nil"/>
              <w:bottom w:val="single" w:sz="4" w:space="0" w:color="auto"/>
            </w:tcBorders>
            <w:shd w:val="clear" w:color="auto" w:fill="auto"/>
            <w:vAlign w:val="center"/>
          </w:tcPr>
          <w:p w14:paraId="165E2DAF" w14:textId="77777777" w:rsidR="00B5063D" w:rsidRPr="00092B56" w:rsidRDefault="00B5063D" w:rsidP="007D064C">
            <w:pPr>
              <w:ind w:right="538"/>
              <w:jc w:val="right"/>
              <w:rPr>
                <w:rFonts w:asciiTheme="minorBidi" w:hAnsiTheme="minorBidi"/>
                <w:b/>
                <w:bCs/>
                <w:sz w:val="24"/>
                <w:szCs w:val="24"/>
                <w:rtl/>
              </w:rPr>
            </w:pPr>
            <w:r w:rsidRPr="00092B56">
              <w:rPr>
                <w:rFonts w:asciiTheme="minorBidi" w:hAnsiTheme="minorBidi"/>
                <w:b/>
                <w:bCs/>
                <w:sz w:val="24"/>
                <w:szCs w:val="24"/>
                <w:rtl/>
              </w:rPr>
              <w:t>10</w:t>
            </w:r>
          </w:p>
        </w:tc>
        <w:tc>
          <w:tcPr>
            <w:tcW w:w="1277" w:type="dxa"/>
            <w:tcBorders>
              <w:top w:val="nil"/>
              <w:bottom w:val="single" w:sz="4" w:space="0" w:color="auto"/>
            </w:tcBorders>
            <w:shd w:val="clear" w:color="auto" w:fill="auto"/>
            <w:vAlign w:val="center"/>
          </w:tcPr>
          <w:p w14:paraId="360B5171" w14:textId="77777777" w:rsidR="00B5063D" w:rsidRPr="00092B56" w:rsidRDefault="00B5063D" w:rsidP="00B5063D">
            <w:pPr>
              <w:ind w:right="284"/>
              <w:jc w:val="right"/>
              <w:rPr>
                <w:rFonts w:asciiTheme="minorBidi" w:hAnsiTheme="minorBidi"/>
                <w:sz w:val="24"/>
                <w:szCs w:val="24"/>
                <w:rtl/>
              </w:rPr>
            </w:pPr>
            <w:r w:rsidRPr="00092B56">
              <w:rPr>
                <w:rFonts w:asciiTheme="minorBidi" w:hAnsiTheme="minorBidi"/>
                <w:sz w:val="24"/>
                <w:szCs w:val="24"/>
                <w:rtl/>
              </w:rPr>
              <w:t>5</w:t>
            </w:r>
          </w:p>
        </w:tc>
        <w:tc>
          <w:tcPr>
            <w:tcW w:w="1985" w:type="dxa"/>
            <w:tcBorders>
              <w:top w:val="nil"/>
              <w:bottom w:val="single" w:sz="4" w:space="0" w:color="auto"/>
            </w:tcBorders>
            <w:vAlign w:val="center"/>
          </w:tcPr>
          <w:p w14:paraId="6B401EBC" w14:textId="2DDA0954" w:rsidR="00B5063D" w:rsidRPr="00092B56" w:rsidRDefault="00B5063D" w:rsidP="00B5063D">
            <w:pPr>
              <w:ind w:right="113"/>
              <w:jc w:val="right"/>
              <w:rPr>
                <w:rFonts w:asciiTheme="minorBidi" w:hAnsiTheme="minorBidi"/>
                <w:sz w:val="24"/>
                <w:szCs w:val="24"/>
              </w:rPr>
            </w:pPr>
            <w:r w:rsidRPr="00092B56">
              <w:rPr>
                <w:rFonts w:asciiTheme="minorBidi" w:hAnsiTheme="minorBidi"/>
                <w:sz w:val="24"/>
                <w:szCs w:val="24"/>
              </w:rPr>
              <w:t>1</w:t>
            </w:r>
            <w:r w:rsidR="000E5BF0">
              <w:rPr>
                <w:rFonts w:asciiTheme="minorBidi" w:hAnsiTheme="minorBidi"/>
                <w:sz w:val="24"/>
                <w:szCs w:val="24"/>
              </w:rPr>
              <w:t>,</w:t>
            </w:r>
            <w:r w:rsidRPr="00092B56">
              <w:rPr>
                <w:rFonts w:asciiTheme="minorBidi" w:hAnsiTheme="minorBidi"/>
                <w:sz w:val="24"/>
                <w:szCs w:val="24"/>
              </w:rPr>
              <w:t>20</w:t>
            </w:r>
            <w:r>
              <w:rPr>
                <w:rFonts w:asciiTheme="minorBidi" w:hAnsiTheme="minorBidi"/>
                <w:sz w:val="24"/>
                <w:szCs w:val="24"/>
              </w:rPr>
              <w:t>9</w:t>
            </w:r>
            <w:r w:rsidRPr="00092B56">
              <w:rPr>
                <w:rFonts w:asciiTheme="minorBidi" w:hAnsiTheme="minorBidi"/>
                <w:sz w:val="24"/>
                <w:szCs w:val="24"/>
              </w:rPr>
              <w:t>–1</w:t>
            </w:r>
            <w:r w:rsidR="000E5BF0">
              <w:rPr>
                <w:rFonts w:asciiTheme="minorBidi" w:hAnsiTheme="minorBidi"/>
                <w:sz w:val="24"/>
                <w:szCs w:val="24"/>
              </w:rPr>
              <w:t>,</w:t>
            </w:r>
            <w:r w:rsidRPr="00092B56">
              <w:rPr>
                <w:rFonts w:asciiTheme="minorBidi" w:hAnsiTheme="minorBidi"/>
                <w:sz w:val="24"/>
                <w:szCs w:val="24"/>
              </w:rPr>
              <w:t>21</w:t>
            </w:r>
            <w:r>
              <w:rPr>
                <w:rFonts w:asciiTheme="minorBidi" w:hAnsiTheme="minorBidi"/>
                <w:sz w:val="24"/>
                <w:szCs w:val="24"/>
              </w:rPr>
              <w:t>3</w:t>
            </w:r>
            <w:r w:rsidRPr="00092B56">
              <w:rPr>
                <w:rFonts w:asciiTheme="minorBidi" w:hAnsiTheme="minorBidi"/>
                <w:sz w:val="24"/>
                <w:szCs w:val="24"/>
              </w:rPr>
              <w:t xml:space="preserve"> </w:t>
            </w:r>
          </w:p>
        </w:tc>
        <w:tc>
          <w:tcPr>
            <w:tcW w:w="1768" w:type="dxa"/>
            <w:tcBorders>
              <w:top w:val="nil"/>
              <w:left w:val="nil"/>
              <w:bottom w:val="nil"/>
              <w:right w:val="single" w:sz="4" w:space="0" w:color="auto"/>
            </w:tcBorders>
            <w:shd w:val="clear" w:color="auto" w:fill="auto"/>
            <w:vAlign w:val="center"/>
          </w:tcPr>
          <w:p w14:paraId="15E80577" w14:textId="1D0EAE57" w:rsidR="00B5063D" w:rsidRPr="007D064C" w:rsidRDefault="00B5063D" w:rsidP="007D064C">
            <w:pPr>
              <w:ind w:right="321"/>
              <w:jc w:val="right"/>
              <w:rPr>
                <w:rFonts w:ascii="Arial" w:hAnsi="Arial"/>
                <w:color w:val="000000"/>
                <w:sz w:val="24"/>
              </w:rPr>
            </w:pPr>
            <w:r w:rsidRPr="00B5063D">
              <w:rPr>
                <w:rFonts w:ascii="Arial" w:hAnsi="Arial" w:cs="Arial"/>
                <w:color w:val="000000"/>
                <w:sz w:val="24"/>
                <w:szCs w:val="24"/>
              </w:rPr>
              <w:t>928,467</w:t>
            </w:r>
          </w:p>
        </w:tc>
        <w:tc>
          <w:tcPr>
            <w:tcW w:w="1623" w:type="dxa"/>
            <w:tcBorders>
              <w:top w:val="nil"/>
              <w:left w:val="single" w:sz="4" w:space="0" w:color="auto"/>
              <w:bottom w:val="single" w:sz="4" w:space="0" w:color="auto"/>
              <w:right w:val="nil"/>
            </w:tcBorders>
            <w:shd w:val="clear" w:color="auto" w:fill="auto"/>
            <w:vAlign w:val="center"/>
          </w:tcPr>
          <w:p w14:paraId="012660C1" w14:textId="574307E9" w:rsidR="00B5063D" w:rsidRPr="007D064C" w:rsidRDefault="00B5063D" w:rsidP="007D064C">
            <w:pPr>
              <w:ind w:right="240"/>
              <w:jc w:val="right"/>
              <w:rPr>
                <w:rFonts w:ascii="Arial" w:hAnsi="Arial"/>
                <w:color w:val="000000"/>
                <w:sz w:val="24"/>
              </w:rPr>
            </w:pPr>
            <w:r w:rsidRPr="007D064C">
              <w:rPr>
                <w:rFonts w:ascii="Arial" w:hAnsi="Arial"/>
                <w:color w:val="000000"/>
                <w:sz w:val="24"/>
              </w:rPr>
              <w:t>10.</w:t>
            </w:r>
            <w:r w:rsidRPr="00B5063D">
              <w:rPr>
                <w:rFonts w:ascii="Arial" w:hAnsi="Arial" w:cs="Arial"/>
                <w:color w:val="000000"/>
                <w:sz w:val="24"/>
                <w:szCs w:val="24"/>
              </w:rPr>
              <w:t>07</w:t>
            </w:r>
          </w:p>
        </w:tc>
      </w:tr>
      <w:tr w:rsidR="00F142A3" w:rsidRPr="00092B56" w14:paraId="51E0E0AD" w14:textId="77777777" w:rsidTr="000E5BF0">
        <w:trPr>
          <w:trHeight w:val="311"/>
          <w:jc w:val="center"/>
        </w:trPr>
        <w:tc>
          <w:tcPr>
            <w:tcW w:w="1700" w:type="dxa"/>
            <w:tcBorders>
              <w:top w:val="single" w:sz="4" w:space="0" w:color="auto"/>
            </w:tcBorders>
            <w:shd w:val="clear" w:color="auto" w:fill="auto"/>
            <w:vAlign w:val="center"/>
          </w:tcPr>
          <w:p w14:paraId="02117EB7" w14:textId="77777777" w:rsidR="00BF22DF" w:rsidRPr="00092B56" w:rsidRDefault="003750E2" w:rsidP="0087442E">
            <w:pPr>
              <w:jc w:val="center"/>
              <w:rPr>
                <w:rFonts w:asciiTheme="minorBidi" w:hAnsiTheme="minorBidi"/>
                <w:b/>
                <w:bCs/>
                <w:sz w:val="24"/>
                <w:szCs w:val="24"/>
              </w:rPr>
            </w:pPr>
            <w:r w:rsidRPr="00092B56">
              <w:rPr>
                <w:rFonts w:asciiTheme="minorBidi" w:hAnsiTheme="minorBidi"/>
                <w:b/>
                <w:bCs/>
                <w:sz w:val="24"/>
                <w:szCs w:val="24"/>
              </w:rPr>
              <w:t>Total</w:t>
            </w:r>
          </w:p>
        </w:tc>
        <w:tc>
          <w:tcPr>
            <w:tcW w:w="1277" w:type="dxa"/>
            <w:tcBorders>
              <w:top w:val="single" w:sz="4" w:space="0" w:color="auto"/>
            </w:tcBorders>
            <w:shd w:val="clear" w:color="auto" w:fill="auto"/>
            <w:vAlign w:val="center"/>
          </w:tcPr>
          <w:p w14:paraId="7436E2A8" w14:textId="57AB86B1" w:rsidR="00BF22DF" w:rsidRPr="0087442E" w:rsidRDefault="00BF22DF" w:rsidP="009C5A3C">
            <w:pPr>
              <w:ind w:right="284"/>
              <w:jc w:val="right"/>
              <w:rPr>
                <w:rFonts w:asciiTheme="minorBidi" w:hAnsiTheme="minorBidi"/>
                <w:b/>
                <w:bCs/>
                <w:sz w:val="24"/>
                <w:szCs w:val="24"/>
                <w:lang w:val="en-US"/>
              </w:rPr>
            </w:pPr>
            <w:r w:rsidRPr="00092B56">
              <w:rPr>
                <w:rFonts w:asciiTheme="minorBidi" w:hAnsiTheme="minorBidi"/>
                <w:b/>
                <w:bCs/>
                <w:sz w:val="24"/>
                <w:szCs w:val="24"/>
                <w:rtl/>
              </w:rPr>
              <w:t>1,21</w:t>
            </w:r>
            <w:r w:rsidR="009C5A3C">
              <w:rPr>
                <w:rFonts w:asciiTheme="minorBidi" w:hAnsiTheme="minorBidi"/>
                <w:b/>
                <w:bCs/>
                <w:sz w:val="24"/>
                <w:szCs w:val="24"/>
              </w:rPr>
              <w:t>3</w:t>
            </w:r>
          </w:p>
        </w:tc>
        <w:tc>
          <w:tcPr>
            <w:tcW w:w="1985" w:type="dxa"/>
            <w:tcBorders>
              <w:top w:val="single" w:sz="4" w:space="0" w:color="auto"/>
            </w:tcBorders>
            <w:vAlign w:val="center"/>
          </w:tcPr>
          <w:p w14:paraId="78A23F5E" w14:textId="77777777" w:rsidR="00BF22DF" w:rsidRPr="0087442E" w:rsidRDefault="00B46825" w:rsidP="0087442E">
            <w:pPr>
              <w:ind w:right="170"/>
              <w:jc w:val="right"/>
              <w:rPr>
                <w:rFonts w:asciiTheme="minorBidi" w:hAnsiTheme="minorBidi"/>
                <w:b/>
                <w:bCs/>
                <w:sz w:val="24"/>
                <w:szCs w:val="24"/>
                <w:lang w:val="en-US"/>
              </w:rPr>
            </w:pPr>
            <w:r w:rsidRPr="00B46825">
              <w:rPr>
                <w:rFonts w:asciiTheme="minorBidi" w:hAnsiTheme="minorBidi"/>
                <w:b/>
                <w:bCs/>
                <w:color w:val="FFFFFF" w:themeColor="background1"/>
                <w:sz w:val="24"/>
                <w:szCs w:val="24"/>
                <w:lang w:val="en-US"/>
              </w:rPr>
              <w:t>-</w:t>
            </w:r>
          </w:p>
        </w:tc>
        <w:tc>
          <w:tcPr>
            <w:tcW w:w="1768" w:type="dxa"/>
            <w:tcBorders>
              <w:top w:val="single" w:sz="4" w:space="0" w:color="auto"/>
            </w:tcBorders>
            <w:shd w:val="clear" w:color="auto" w:fill="auto"/>
            <w:vAlign w:val="center"/>
          </w:tcPr>
          <w:p w14:paraId="0365DF21" w14:textId="6A5B11A9" w:rsidR="00BF22DF" w:rsidRPr="00092B56" w:rsidRDefault="00B5063D" w:rsidP="007D064C">
            <w:pPr>
              <w:ind w:right="321"/>
              <w:jc w:val="right"/>
              <w:rPr>
                <w:rFonts w:asciiTheme="minorBidi" w:hAnsiTheme="minorBidi"/>
                <w:b/>
                <w:bCs/>
                <w:sz w:val="24"/>
                <w:szCs w:val="24"/>
              </w:rPr>
            </w:pPr>
            <w:r>
              <w:rPr>
                <w:rFonts w:asciiTheme="minorBidi" w:hAnsiTheme="minorBidi"/>
                <w:b/>
                <w:bCs/>
                <w:sz w:val="24"/>
                <w:szCs w:val="24"/>
              </w:rPr>
              <w:t>9,216,330</w:t>
            </w:r>
          </w:p>
        </w:tc>
        <w:tc>
          <w:tcPr>
            <w:tcW w:w="1623" w:type="dxa"/>
            <w:tcBorders>
              <w:top w:val="single" w:sz="4" w:space="0" w:color="auto"/>
            </w:tcBorders>
            <w:vAlign w:val="center"/>
          </w:tcPr>
          <w:p w14:paraId="762DB0B4" w14:textId="77777777" w:rsidR="00BF22DF" w:rsidRPr="00092B56" w:rsidRDefault="00BF22DF" w:rsidP="007D064C">
            <w:pPr>
              <w:ind w:right="240"/>
              <w:jc w:val="right"/>
              <w:rPr>
                <w:rFonts w:asciiTheme="minorBidi" w:hAnsiTheme="minorBidi"/>
                <w:b/>
                <w:bCs/>
                <w:sz w:val="24"/>
                <w:szCs w:val="24"/>
              </w:rPr>
            </w:pPr>
            <w:bookmarkStart w:id="77" w:name="_Toc519413408"/>
            <w:r w:rsidRPr="00092B56">
              <w:rPr>
                <w:rFonts w:asciiTheme="minorBidi" w:hAnsiTheme="minorBidi"/>
                <w:b/>
                <w:bCs/>
                <w:sz w:val="24"/>
                <w:szCs w:val="24"/>
              </w:rPr>
              <w:t>100.00</w:t>
            </w:r>
            <w:bookmarkEnd w:id="77"/>
          </w:p>
        </w:tc>
      </w:tr>
    </w:tbl>
    <w:p w14:paraId="3B182D48" w14:textId="4117E59B" w:rsidR="00B4150B" w:rsidRPr="007D064C" w:rsidRDefault="003750E2" w:rsidP="007D064C">
      <w:pPr>
        <w:pStyle w:val="body"/>
        <w:pageBreakBefore/>
        <w:spacing w:before="360" w:after="240"/>
        <w:rPr>
          <w:lang w:val="en-US"/>
        </w:rPr>
      </w:pPr>
      <w:r w:rsidRPr="009D5E35">
        <w:rPr>
          <w:b/>
          <w:bCs/>
        </w:rPr>
        <w:lastRenderedPageBreak/>
        <w:t>Table C</w:t>
      </w:r>
      <w:r w:rsidR="00695AEE">
        <w:rPr>
          <w:b/>
          <w:bCs/>
        </w:rPr>
        <w:t xml:space="preserve"> </w:t>
      </w:r>
      <w:r w:rsidRPr="009D5E35">
        <w:t>displays the changes that took place in the allocation of local authorities to 10 peripherality clusters according to the 20</w:t>
      </w:r>
      <w:r w:rsidR="00B4150B">
        <w:t>20</w:t>
      </w:r>
      <w:r w:rsidRPr="009D5E35">
        <w:t xml:space="preserve"> index compared to the 20</w:t>
      </w:r>
      <w:r w:rsidR="00B4150B">
        <w:t>15</w:t>
      </w:r>
      <w:r w:rsidRPr="009D5E35">
        <w:t xml:space="preserve"> index. </w:t>
      </w:r>
      <w:r w:rsidR="00B4150B" w:rsidRPr="00B4150B">
        <w:rPr>
          <w:lang w:val="en-US"/>
        </w:rPr>
        <w:t xml:space="preserve">Note that the </w:t>
      </w:r>
      <w:r w:rsidR="007A1742">
        <w:rPr>
          <w:lang w:val="en-US"/>
        </w:rPr>
        <w:t>allocation</w:t>
      </w:r>
      <w:r w:rsidR="00B4150B" w:rsidRPr="00B4150B">
        <w:rPr>
          <w:lang w:val="en-US"/>
        </w:rPr>
        <w:t xml:space="preserve"> of a local authority to a cluster is not absolute. </w:t>
      </w:r>
      <w:r w:rsidR="00EE4D2F">
        <w:rPr>
          <w:lang w:val="en-US"/>
        </w:rPr>
        <w:t>I</w:t>
      </w:r>
      <w:r w:rsidR="00B4150B" w:rsidRPr="00B4150B">
        <w:rPr>
          <w:lang w:val="en-US"/>
        </w:rPr>
        <w:t>t is relative to the other</w:t>
      </w:r>
      <w:r w:rsidR="00B4150B" w:rsidRPr="007D064C">
        <w:rPr>
          <w:lang w:val="en-US"/>
        </w:rPr>
        <w:t xml:space="preserve"> local authorities</w:t>
      </w:r>
      <w:r w:rsidR="00B4150B" w:rsidRPr="00B4150B">
        <w:rPr>
          <w:lang w:val="en-US"/>
        </w:rPr>
        <w:t xml:space="preserve">. Moreover, the distribution of the </w:t>
      </w:r>
      <w:r w:rsidR="00B4150B" w:rsidRPr="00B4150B">
        <w:t>local authorities between clusters varies.</w:t>
      </w:r>
    </w:p>
    <w:p w14:paraId="298DF43B" w14:textId="06CD5C6E" w:rsidR="00B4150B" w:rsidRPr="00DF7376" w:rsidRDefault="00B4150B" w:rsidP="007D064C">
      <w:pPr>
        <w:pStyle w:val="text"/>
        <w:spacing w:before="240" w:after="120" w:line="276" w:lineRule="auto"/>
        <w:ind w:left="0"/>
        <w:jc w:val="center"/>
        <w:rPr>
          <w:b/>
        </w:rPr>
      </w:pPr>
      <w:r w:rsidRPr="007D064C">
        <w:rPr>
          <w:rFonts w:asciiTheme="minorBidi" w:hAnsiTheme="minorBidi"/>
          <w:b/>
          <w:lang w:val="en-GB"/>
        </w:rPr>
        <w:t xml:space="preserve">Table C. Changes in </w:t>
      </w:r>
      <w:r w:rsidRPr="004D2E8C">
        <w:rPr>
          <w:rFonts w:asciiTheme="minorBidi" w:hAnsiTheme="minorBidi" w:cstheme="minorBidi"/>
          <w:b/>
          <w:bCs/>
          <w:lang w:val="en-GB"/>
        </w:rPr>
        <w:t>the Distribution of the Local Authorities</w:t>
      </w:r>
      <w:r w:rsidRPr="004D2E8C">
        <w:rPr>
          <w:rFonts w:asciiTheme="minorBidi" w:hAnsiTheme="minorBidi" w:cstheme="minorBidi"/>
          <w:b/>
          <w:bCs/>
          <w:lang w:val="en-GB"/>
        </w:rPr>
        <w:br/>
        <w:t xml:space="preserve">by </w:t>
      </w:r>
      <w:r w:rsidR="00494431" w:rsidRPr="007D064C">
        <w:rPr>
          <w:rFonts w:asciiTheme="minorBidi" w:hAnsiTheme="minorBidi"/>
          <w:b/>
          <w:lang w:val="en-GB"/>
        </w:rPr>
        <w:t>Peripherality</w:t>
      </w:r>
      <w:r w:rsidRPr="007D064C">
        <w:rPr>
          <w:rFonts w:asciiTheme="minorBidi" w:hAnsiTheme="minorBidi"/>
          <w:b/>
          <w:lang w:val="en-GB"/>
        </w:rPr>
        <w:t xml:space="preserve"> Cluster, 20</w:t>
      </w:r>
      <w:r w:rsidR="00494431" w:rsidRPr="004D2E8C">
        <w:rPr>
          <w:rFonts w:asciiTheme="minorBidi" w:hAnsiTheme="minorBidi" w:cstheme="minorBidi"/>
          <w:b/>
          <w:bCs/>
          <w:lang w:val="en-GB"/>
        </w:rPr>
        <w:t>20</w:t>
      </w:r>
      <w:r w:rsidRPr="007D064C">
        <w:rPr>
          <w:rFonts w:asciiTheme="minorBidi" w:hAnsiTheme="minorBidi"/>
          <w:b/>
          <w:lang w:val="en-GB"/>
        </w:rPr>
        <w:t xml:space="preserve"> Compared to 20</w:t>
      </w:r>
      <w:r w:rsidR="00494431" w:rsidRPr="004D2E8C">
        <w:rPr>
          <w:rFonts w:asciiTheme="minorBidi" w:hAnsiTheme="minorBidi" w:cstheme="minorBidi"/>
          <w:b/>
          <w:bCs/>
          <w:lang w:val="en-GB"/>
        </w:rPr>
        <w:t>15</w:t>
      </w:r>
    </w:p>
    <w:tbl>
      <w:tblPr>
        <w:tblW w:w="7938" w:type="dxa"/>
        <w:jc w:val="center"/>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Caption w:val="Table C. Changes in the Distribution of the Local Authorities by Peripherality Cluster, 2020 Compared to 2015"/>
        <w:tblDescription w:val=" Table C. Changes in the Distribution of the Local Authorities&#10;by Peripherality Cluster, 2020 Compared to 2015&#10;&#10;"/>
      </w:tblPr>
      <w:tblGrid>
        <w:gridCol w:w="1135"/>
        <w:gridCol w:w="1559"/>
        <w:gridCol w:w="1134"/>
        <w:gridCol w:w="1418"/>
        <w:gridCol w:w="1134"/>
        <w:gridCol w:w="1558"/>
      </w:tblGrid>
      <w:tr w:rsidR="00F142A3" w:rsidRPr="00494431" w14:paraId="1BFE9753" w14:textId="77777777" w:rsidTr="00494431">
        <w:trPr>
          <w:trHeight w:val="1319"/>
          <w:tblHeader/>
          <w:jc w:val="center"/>
        </w:trPr>
        <w:tc>
          <w:tcPr>
            <w:tcW w:w="1135" w:type="dxa"/>
            <w:shd w:val="clear" w:color="auto" w:fill="auto"/>
            <w:noWrap/>
            <w:vAlign w:val="center"/>
            <w:hideMark/>
          </w:tcPr>
          <w:p w14:paraId="45DF4371" w14:textId="0F5F918D" w:rsidR="00494431" w:rsidRPr="007D064C" w:rsidRDefault="00494431" w:rsidP="007D064C">
            <w:pPr>
              <w:jc w:val="center"/>
              <w:rPr>
                <w:rFonts w:asciiTheme="minorBidi" w:hAnsiTheme="minorBidi"/>
                <w:b/>
                <w:color w:val="000000"/>
                <w:sz w:val="24"/>
              </w:rPr>
            </w:pPr>
            <w:r w:rsidRPr="007D064C">
              <w:rPr>
                <w:rFonts w:asciiTheme="minorBidi" w:hAnsiTheme="minorBidi"/>
                <w:b/>
                <w:color w:val="000000"/>
                <w:sz w:val="24"/>
              </w:rPr>
              <w:t>Cluster</w:t>
            </w:r>
          </w:p>
        </w:tc>
        <w:tc>
          <w:tcPr>
            <w:tcW w:w="1559" w:type="dxa"/>
            <w:vAlign w:val="center"/>
          </w:tcPr>
          <w:p w14:paraId="212B0EE2" w14:textId="605F7A6E" w:rsidR="00494431" w:rsidRPr="007D064C" w:rsidRDefault="00494431" w:rsidP="007D064C">
            <w:pPr>
              <w:jc w:val="center"/>
              <w:rPr>
                <w:rFonts w:asciiTheme="minorBidi" w:hAnsiTheme="minorBidi"/>
                <w:b/>
                <w:bCs/>
                <w:color w:val="000000"/>
                <w:sz w:val="24"/>
                <w:szCs w:val="24"/>
                <w:rtl/>
              </w:rPr>
            </w:pPr>
            <w:r w:rsidRPr="007D064C">
              <w:rPr>
                <w:rFonts w:asciiTheme="minorBidi" w:hAnsiTheme="minorBidi"/>
                <w:b/>
                <w:color w:val="000000"/>
                <w:sz w:val="24"/>
              </w:rPr>
              <w:t xml:space="preserve">Number of </w:t>
            </w:r>
            <w:r w:rsidRPr="00494431">
              <w:rPr>
                <w:rFonts w:asciiTheme="minorBidi" w:hAnsiTheme="minorBidi"/>
                <w:b/>
                <w:bCs/>
                <w:color w:val="000000"/>
                <w:sz w:val="24"/>
                <w:szCs w:val="24"/>
              </w:rPr>
              <w:t>local authorities 201</w:t>
            </w:r>
            <w:r w:rsidR="00C22A80">
              <w:rPr>
                <w:rFonts w:asciiTheme="minorBidi" w:hAnsiTheme="minorBidi"/>
                <w:b/>
                <w:bCs/>
                <w:color w:val="000000"/>
                <w:sz w:val="24"/>
                <w:szCs w:val="24"/>
              </w:rPr>
              <w:t>5</w:t>
            </w:r>
          </w:p>
        </w:tc>
        <w:tc>
          <w:tcPr>
            <w:tcW w:w="1134" w:type="dxa"/>
            <w:tcBorders>
              <w:bottom w:val="single" w:sz="4" w:space="0" w:color="auto"/>
            </w:tcBorders>
            <w:vAlign w:val="center"/>
          </w:tcPr>
          <w:p w14:paraId="0BE6BCDC" w14:textId="77777777" w:rsidR="00494431" w:rsidRPr="00494431" w:rsidRDefault="00494431" w:rsidP="007A0477">
            <w:pPr>
              <w:jc w:val="center"/>
              <w:rPr>
                <w:rFonts w:asciiTheme="minorBidi" w:hAnsiTheme="minorBidi"/>
                <w:b/>
                <w:bCs/>
                <w:color w:val="000000"/>
                <w:sz w:val="24"/>
                <w:szCs w:val="24"/>
                <w:rtl/>
              </w:rPr>
            </w:pPr>
            <w:r w:rsidRPr="00494431">
              <w:rPr>
                <w:rFonts w:asciiTheme="minorBidi" w:hAnsiTheme="minorBidi"/>
                <w:b/>
                <w:bCs/>
                <w:color w:val="000000"/>
                <w:sz w:val="24"/>
                <w:szCs w:val="24"/>
              </w:rPr>
              <w:t>Moved down one cluster</w:t>
            </w:r>
          </w:p>
        </w:tc>
        <w:tc>
          <w:tcPr>
            <w:tcW w:w="1418" w:type="dxa"/>
            <w:vAlign w:val="center"/>
          </w:tcPr>
          <w:p w14:paraId="2DE805B6" w14:textId="77777777" w:rsidR="00494431" w:rsidRPr="00494431" w:rsidRDefault="00494431" w:rsidP="007A0477">
            <w:pPr>
              <w:jc w:val="center"/>
              <w:rPr>
                <w:rFonts w:asciiTheme="minorBidi" w:hAnsiTheme="minorBidi"/>
                <w:b/>
                <w:bCs/>
                <w:color w:val="000000"/>
                <w:sz w:val="24"/>
                <w:szCs w:val="24"/>
                <w:rtl/>
              </w:rPr>
            </w:pPr>
            <w:r w:rsidRPr="00494431">
              <w:rPr>
                <w:rFonts w:asciiTheme="minorBidi" w:hAnsiTheme="minorBidi"/>
                <w:b/>
                <w:bCs/>
                <w:color w:val="000000"/>
                <w:sz w:val="24"/>
                <w:szCs w:val="24"/>
              </w:rPr>
              <w:t>Remained in the same cluster</w:t>
            </w:r>
          </w:p>
        </w:tc>
        <w:tc>
          <w:tcPr>
            <w:tcW w:w="1134" w:type="dxa"/>
            <w:vAlign w:val="center"/>
          </w:tcPr>
          <w:p w14:paraId="392FDD07" w14:textId="77777777" w:rsidR="00494431" w:rsidRPr="00494431" w:rsidRDefault="00494431" w:rsidP="007A0477">
            <w:pPr>
              <w:jc w:val="center"/>
              <w:rPr>
                <w:rFonts w:asciiTheme="minorBidi" w:hAnsiTheme="minorBidi"/>
                <w:b/>
                <w:bCs/>
                <w:color w:val="000000"/>
                <w:sz w:val="24"/>
                <w:szCs w:val="24"/>
              </w:rPr>
            </w:pPr>
            <w:r w:rsidRPr="00494431">
              <w:rPr>
                <w:rFonts w:asciiTheme="minorBidi" w:hAnsiTheme="minorBidi"/>
                <w:b/>
                <w:bCs/>
                <w:color w:val="000000"/>
                <w:sz w:val="24"/>
                <w:szCs w:val="24"/>
              </w:rPr>
              <w:t>Moved up one cluster</w:t>
            </w:r>
          </w:p>
        </w:tc>
        <w:tc>
          <w:tcPr>
            <w:tcW w:w="1558" w:type="dxa"/>
            <w:vAlign w:val="center"/>
          </w:tcPr>
          <w:p w14:paraId="7C3F1B13" w14:textId="77777777" w:rsidR="00494431" w:rsidRPr="00494431" w:rsidRDefault="00EE4D2F" w:rsidP="00EE4D2F">
            <w:pPr>
              <w:jc w:val="center"/>
              <w:rPr>
                <w:rFonts w:asciiTheme="minorBidi" w:hAnsiTheme="minorBidi"/>
                <w:b/>
                <w:bCs/>
                <w:color w:val="000000"/>
                <w:sz w:val="24"/>
                <w:szCs w:val="24"/>
                <w:rtl/>
              </w:rPr>
            </w:pPr>
            <w:r>
              <w:rPr>
                <w:rFonts w:asciiTheme="minorBidi" w:hAnsiTheme="minorBidi"/>
                <w:b/>
                <w:bCs/>
                <w:color w:val="000000"/>
                <w:sz w:val="24"/>
                <w:szCs w:val="24"/>
              </w:rPr>
              <w:t>Number of local authorities</w:t>
            </w:r>
            <w:r w:rsidR="00494431" w:rsidRPr="00494431">
              <w:rPr>
                <w:rFonts w:asciiTheme="minorBidi" w:hAnsiTheme="minorBidi"/>
                <w:b/>
                <w:bCs/>
                <w:color w:val="000000"/>
                <w:sz w:val="24"/>
                <w:szCs w:val="24"/>
              </w:rPr>
              <w:t>20</w:t>
            </w:r>
            <w:r w:rsidR="00C22A80">
              <w:rPr>
                <w:rFonts w:asciiTheme="minorBidi" w:hAnsiTheme="minorBidi"/>
                <w:b/>
                <w:bCs/>
                <w:color w:val="000000"/>
                <w:sz w:val="24"/>
                <w:szCs w:val="24"/>
              </w:rPr>
              <w:t>20</w:t>
            </w:r>
          </w:p>
        </w:tc>
      </w:tr>
      <w:tr w:rsidR="00F142A3" w:rsidRPr="00494431" w14:paraId="6991BDFF" w14:textId="77777777" w:rsidTr="00C03E49">
        <w:trPr>
          <w:trHeight w:val="397"/>
          <w:jc w:val="center"/>
        </w:trPr>
        <w:tc>
          <w:tcPr>
            <w:tcW w:w="1135" w:type="dxa"/>
            <w:tcBorders>
              <w:bottom w:val="nil"/>
            </w:tcBorders>
            <w:shd w:val="clear" w:color="auto" w:fill="auto"/>
            <w:vAlign w:val="center"/>
            <w:hideMark/>
          </w:tcPr>
          <w:p w14:paraId="11000287" w14:textId="77777777" w:rsidR="00C22A80" w:rsidRPr="004D2E8C" w:rsidRDefault="00C22A80" w:rsidP="00C22A80">
            <w:pPr>
              <w:ind w:right="284"/>
              <w:jc w:val="right"/>
              <w:rPr>
                <w:rFonts w:asciiTheme="minorBidi" w:hAnsiTheme="minorBidi"/>
                <w:b/>
                <w:bCs/>
                <w:color w:val="000000"/>
                <w:sz w:val="24"/>
                <w:szCs w:val="24"/>
              </w:rPr>
            </w:pPr>
            <w:r w:rsidRPr="004D2E8C">
              <w:rPr>
                <w:rFonts w:asciiTheme="minorBidi" w:hAnsiTheme="minorBidi"/>
                <w:b/>
                <w:bCs/>
                <w:color w:val="000000"/>
                <w:sz w:val="24"/>
                <w:szCs w:val="24"/>
                <w:rtl/>
              </w:rPr>
              <w:t>1</w:t>
            </w:r>
          </w:p>
        </w:tc>
        <w:tc>
          <w:tcPr>
            <w:tcW w:w="1559" w:type="dxa"/>
            <w:tcBorders>
              <w:bottom w:val="nil"/>
            </w:tcBorders>
            <w:vAlign w:val="center"/>
          </w:tcPr>
          <w:p w14:paraId="486DB16F" w14:textId="40892E72" w:rsidR="00C22A80" w:rsidRPr="007D064C" w:rsidRDefault="004D2E8C" w:rsidP="007D064C">
            <w:pPr>
              <w:ind w:right="510"/>
              <w:jc w:val="right"/>
              <w:rPr>
                <w:rFonts w:asciiTheme="minorBidi" w:hAnsiTheme="minorBidi"/>
                <w:color w:val="000000"/>
                <w:sz w:val="24"/>
                <w:szCs w:val="24"/>
                <w:rtl/>
              </w:rPr>
            </w:pPr>
            <w:r w:rsidRPr="007D064C">
              <w:rPr>
                <w:rFonts w:asciiTheme="minorBidi" w:hAnsiTheme="minorBidi"/>
                <w:color w:val="000000"/>
                <w:sz w:val="24"/>
                <w:szCs w:val="24"/>
                <w:rtl/>
              </w:rPr>
              <w:t>2</w:t>
            </w:r>
          </w:p>
        </w:tc>
        <w:tc>
          <w:tcPr>
            <w:tcW w:w="1134" w:type="dxa"/>
            <w:tcBorders>
              <w:bottom w:val="nil"/>
            </w:tcBorders>
            <w:vAlign w:val="center"/>
          </w:tcPr>
          <w:p w14:paraId="333CD899" w14:textId="69C79225" w:rsidR="00C22A80" w:rsidRPr="007D064C" w:rsidRDefault="00C22A80" w:rsidP="007D064C">
            <w:pPr>
              <w:tabs>
                <w:tab w:val="right" w:pos="597"/>
              </w:tabs>
              <w:ind w:right="227"/>
              <w:jc w:val="right"/>
              <w:rPr>
                <w:rFonts w:asciiTheme="minorBidi" w:hAnsiTheme="minorBidi"/>
                <w:color w:val="000000"/>
                <w:sz w:val="24"/>
                <w:szCs w:val="24"/>
                <w:rtl/>
              </w:rPr>
            </w:pPr>
            <w:r w:rsidRPr="00494431">
              <w:rPr>
                <w:rFonts w:asciiTheme="minorBidi" w:hAnsiTheme="minorBidi"/>
                <w:color w:val="000000"/>
                <w:sz w:val="24"/>
                <w:szCs w:val="24"/>
                <w:rtl/>
              </w:rPr>
              <w:t>0</w:t>
            </w:r>
          </w:p>
        </w:tc>
        <w:tc>
          <w:tcPr>
            <w:tcW w:w="1418" w:type="dxa"/>
            <w:tcBorders>
              <w:bottom w:val="nil"/>
            </w:tcBorders>
            <w:vAlign w:val="center"/>
          </w:tcPr>
          <w:p w14:paraId="404E474A" w14:textId="77777777" w:rsidR="00C22A80" w:rsidRPr="00494431" w:rsidRDefault="00C22A80" w:rsidP="00C22A80">
            <w:pPr>
              <w:ind w:right="397"/>
              <w:jc w:val="right"/>
              <w:rPr>
                <w:rFonts w:asciiTheme="minorBidi" w:hAnsiTheme="minorBidi"/>
                <w:color w:val="000000"/>
                <w:sz w:val="24"/>
                <w:szCs w:val="24"/>
                <w:rtl/>
              </w:rPr>
            </w:pPr>
            <w:r>
              <w:rPr>
                <w:rFonts w:asciiTheme="minorBidi" w:hAnsiTheme="minorBidi"/>
                <w:color w:val="000000"/>
                <w:sz w:val="24"/>
                <w:szCs w:val="24"/>
              </w:rPr>
              <w:t>2</w:t>
            </w:r>
          </w:p>
        </w:tc>
        <w:tc>
          <w:tcPr>
            <w:tcW w:w="1134" w:type="dxa"/>
            <w:tcBorders>
              <w:bottom w:val="nil"/>
            </w:tcBorders>
            <w:vAlign w:val="center"/>
          </w:tcPr>
          <w:p w14:paraId="1611B654" w14:textId="77777777" w:rsidR="00C22A80" w:rsidRPr="00494431" w:rsidRDefault="00C22A80" w:rsidP="00C22A80">
            <w:pPr>
              <w:tabs>
                <w:tab w:val="right" w:pos="671"/>
              </w:tabs>
              <w:ind w:right="340"/>
              <w:jc w:val="right"/>
              <w:rPr>
                <w:rFonts w:asciiTheme="minorBidi" w:hAnsiTheme="minorBidi"/>
                <w:color w:val="000000"/>
                <w:sz w:val="24"/>
                <w:szCs w:val="24"/>
                <w:rtl/>
              </w:rPr>
            </w:pPr>
            <w:r w:rsidRPr="00494431">
              <w:rPr>
                <w:rFonts w:asciiTheme="minorBidi" w:hAnsiTheme="minorBidi"/>
                <w:color w:val="000000"/>
                <w:sz w:val="24"/>
                <w:szCs w:val="24"/>
                <w:rtl/>
              </w:rPr>
              <w:t>0</w:t>
            </w:r>
          </w:p>
        </w:tc>
        <w:tc>
          <w:tcPr>
            <w:tcW w:w="1558" w:type="dxa"/>
            <w:tcBorders>
              <w:bottom w:val="nil"/>
            </w:tcBorders>
            <w:shd w:val="clear" w:color="auto" w:fill="auto"/>
            <w:vAlign w:val="center"/>
          </w:tcPr>
          <w:p w14:paraId="408C8331" w14:textId="77777777" w:rsidR="00C22A80" w:rsidRPr="0026394F" w:rsidRDefault="00C22A80" w:rsidP="004D2E8C">
            <w:pPr>
              <w:keepNext/>
              <w:ind w:right="462"/>
              <w:jc w:val="right"/>
              <w:rPr>
                <w:rFonts w:asciiTheme="minorBidi" w:hAnsiTheme="minorBidi"/>
                <w:sz w:val="24"/>
                <w:szCs w:val="24"/>
                <w:rtl/>
              </w:rPr>
            </w:pPr>
            <w:r w:rsidRPr="0026394F">
              <w:rPr>
                <w:rFonts w:asciiTheme="minorBidi" w:hAnsiTheme="minorBidi"/>
                <w:sz w:val="24"/>
                <w:szCs w:val="24"/>
              </w:rPr>
              <w:t>18</w:t>
            </w:r>
          </w:p>
        </w:tc>
      </w:tr>
      <w:tr w:rsidR="00F142A3" w:rsidRPr="00494431" w14:paraId="731E53C7" w14:textId="77777777" w:rsidTr="00C03E49">
        <w:trPr>
          <w:trHeight w:val="397"/>
          <w:jc w:val="center"/>
        </w:trPr>
        <w:tc>
          <w:tcPr>
            <w:tcW w:w="1135" w:type="dxa"/>
            <w:tcBorders>
              <w:top w:val="nil"/>
              <w:bottom w:val="nil"/>
            </w:tcBorders>
            <w:shd w:val="clear" w:color="auto" w:fill="auto"/>
            <w:vAlign w:val="center"/>
          </w:tcPr>
          <w:p w14:paraId="1732DF9E" w14:textId="1DC8FE66" w:rsidR="00C22A80" w:rsidRPr="007D064C" w:rsidRDefault="00C22A80" w:rsidP="007D064C">
            <w:pPr>
              <w:ind w:right="284"/>
              <w:jc w:val="right"/>
              <w:rPr>
                <w:rFonts w:asciiTheme="minorBidi" w:hAnsiTheme="minorBidi"/>
                <w:b/>
                <w:bCs/>
                <w:color w:val="000000"/>
                <w:sz w:val="24"/>
                <w:szCs w:val="24"/>
                <w:rtl/>
              </w:rPr>
            </w:pPr>
            <w:r w:rsidRPr="004D2E8C">
              <w:rPr>
                <w:rFonts w:asciiTheme="minorBidi" w:hAnsiTheme="minorBidi"/>
                <w:b/>
                <w:bCs/>
                <w:color w:val="000000"/>
                <w:sz w:val="24"/>
                <w:szCs w:val="24"/>
                <w:rtl/>
              </w:rPr>
              <w:t>2</w:t>
            </w:r>
          </w:p>
        </w:tc>
        <w:tc>
          <w:tcPr>
            <w:tcW w:w="1559" w:type="dxa"/>
            <w:tcBorders>
              <w:top w:val="nil"/>
              <w:bottom w:val="nil"/>
            </w:tcBorders>
            <w:vAlign w:val="center"/>
          </w:tcPr>
          <w:p w14:paraId="15B96D2B" w14:textId="42D45377" w:rsidR="00C22A80" w:rsidRPr="007D064C" w:rsidRDefault="004D2E8C" w:rsidP="007D064C">
            <w:pPr>
              <w:ind w:right="510"/>
              <w:jc w:val="right"/>
              <w:rPr>
                <w:rFonts w:asciiTheme="minorBidi" w:hAnsiTheme="minorBidi"/>
                <w:color w:val="000000"/>
                <w:sz w:val="24"/>
                <w:szCs w:val="24"/>
                <w:rtl/>
              </w:rPr>
            </w:pPr>
            <w:r>
              <w:rPr>
                <w:rFonts w:asciiTheme="minorBidi" w:hAnsiTheme="minorBidi" w:hint="cs"/>
                <w:color w:val="000000"/>
                <w:sz w:val="24"/>
                <w:szCs w:val="24"/>
                <w:rtl/>
              </w:rPr>
              <w:t>16</w:t>
            </w:r>
          </w:p>
        </w:tc>
        <w:tc>
          <w:tcPr>
            <w:tcW w:w="1134" w:type="dxa"/>
            <w:tcBorders>
              <w:top w:val="nil"/>
              <w:bottom w:val="nil"/>
            </w:tcBorders>
            <w:vAlign w:val="center"/>
          </w:tcPr>
          <w:p w14:paraId="059DCA04" w14:textId="77777777" w:rsidR="00C22A80" w:rsidRPr="00494431" w:rsidRDefault="00C22A80" w:rsidP="004D2E8C">
            <w:pPr>
              <w:tabs>
                <w:tab w:val="right" w:pos="597"/>
              </w:tabs>
              <w:ind w:right="227"/>
              <w:jc w:val="right"/>
              <w:rPr>
                <w:rFonts w:asciiTheme="minorBidi" w:hAnsiTheme="minorBidi"/>
                <w:color w:val="000000"/>
                <w:sz w:val="24"/>
                <w:szCs w:val="24"/>
                <w:rtl/>
              </w:rPr>
            </w:pPr>
            <w:r>
              <w:rPr>
                <w:rFonts w:asciiTheme="minorBidi" w:hAnsiTheme="minorBidi" w:hint="cs"/>
                <w:color w:val="000000"/>
                <w:sz w:val="24"/>
                <w:szCs w:val="24"/>
                <w:rtl/>
              </w:rPr>
              <w:t>16</w:t>
            </w:r>
          </w:p>
        </w:tc>
        <w:tc>
          <w:tcPr>
            <w:tcW w:w="1418" w:type="dxa"/>
            <w:tcBorders>
              <w:top w:val="nil"/>
              <w:bottom w:val="nil"/>
            </w:tcBorders>
            <w:vAlign w:val="center"/>
          </w:tcPr>
          <w:p w14:paraId="115BA232" w14:textId="77777777" w:rsidR="00C22A80" w:rsidRPr="00494431" w:rsidRDefault="00C22A80" w:rsidP="00C22A80">
            <w:pPr>
              <w:ind w:right="397"/>
              <w:jc w:val="right"/>
              <w:rPr>
                <w:rFonts w:asciiTheme="minorBidi" w:hAnsiTheme="minorBidi"/>
                <w:color w:val="000000"/>
                <w:sz w:val="24"/>
                <w:szCs w:val="24"/>
                <w:rtl/>
              </w:rPr>
            </w:pPr>
            <w:r>
              <w:rPr>
                <w:rFonts w:asciiTheme="minorBidi" w:hAnsiTheme="minorBidi"/>
                <w:color w:val="000000"/>
                <w:sz w:val="24"/>
                <w:szCs w:val="24"/>
              </w:rPr>
              <w:t>0</w:t>
            </w:r>
          </w:p>
        </w:tc>
        <w:tc>
          <w:tcPr>
            <w:tcW w:w="1134" w:type="dxa"/>
            <w:tcBorders>
              <w:top w:val="nil"/>
              <w:bottom w:val="nil"/>
            </w:tcBorders>
            <w:vAlign w:val="center"/>
          </w:tcPr>
          <w:p w14:paraId="036A081F" w14:textId="77777777" w:rsidR="00C22A80" w:rsidRPr="00494431" w:rsidRDefault="00C22A80" w:rsidP="00C22A80">
            <w:pPr>
              <w:tabs>
                <w:tab w:val="right" w:pos="671"/>
              </w:tabs>
              <w:ind w:right="340"/>
              <w:jc w:val="right"/>
              <w:rPr>
                <w:rFonts w:asciiTheme="minorBidi" w:hAnsiTheme="minorBidi"/>
                <w:color w:val="000000"/>
                <w:sz w:val="24"/>
                <w:szCs w:val="24"/>
                <w:rtl/>
              </w:rPr>
            </w:pPr>
            <w:r>
              <w:rPr>
                <w:rFonts w:asciiTheme="minorBidi" w:hAnsiTheme="minorBidi"/>
                <w:color w:val="000000"/>
                <w:sz w:val="24"/>
                <w:szCs w:val="24"/>
              </w:rPr>
              <w:t>0</w:t>
            </w:r>
          </w:p>
        </w:tc>
        <w:tc>
          <w:tcPr>
            <w:tcW w:w="1558" w:type="dxa"/>
            <w:tcBorders>
              <w:top w:val="nil"/>
              <w:bottom w:val="nil"/>
            </w:tcBorders>
            <w:shd w:val="clear" w:color="auto" w:fill="auto"/>
            <w:vAlign w:val="center"/>
          </w:tcPr>
          <w:p w14:paraId="15C64A55" w14:textId="77777777" w:rsidR="00C22A80" w:rsidRPr="0026394F" w:rsidRDefault="00C22A80" w:rsidP="004D2E8C">
            <w:pPr>
              <w:ind w:right="462"/>
              <w:jc w:val="right"/>
              <w:rPr>
                <w:rFonts w:asciiTheme="minorBidi" w:hAnsiTheme="minorBidi"/>
                <w:sz w:val="24"/>
                <w:szCs w:val="24"/>
                <w:rtl/>
              </w:rPr>
            </w:pPr>
            <w:r>
              <w:rPr>
                <w:rFonts w:asciiTheme="minorBidi" w:hAnsiTheme="minorBidi" w:hint="cs"/>
                <w:sz w:val="24"/>
                <w:szCs w:val="24"/>
                <w:rtl/>
              </w:rPr>
              <w:t>20</w:t>
            </w:r>
          </w:p>
        </w:tc>
      </w:tr>
      <w:tr w:rsidR="00C22A80" w:rsidRPr="00494431" w14:paraId="4887F3AF" w14:textId="77777777" w:rsidTr="00C03E49">
        <w:trPr>
          <w:trHeight w:val="397"/>
          <w:jc w:val="center"/>
        </w:trPr>
        <w:tc>
          <w:tcPr>
            <w:tcW w:w="1135" w:type="dxa"/>
            <w:tcBorders>
              <w:top w:val="nil"/>
              <w:bottom w:val="nil"/>
            </w:tcBorders>
            <w:shd w:val="clear" w:color="auto" w:fill="auto"/>
            <w:vAlign w:val="center"/>
          </w:tcPr>
          <w:p w14:paraId="6D80DC45" w14:textId="77777777" w:rsidR="00C22A80" w:rsidRPr="004D2E8C" w:rsidRDefault="00C22A80" w:rsidP="00C22A80">
            <w:pPr>
              <w:ind w:right="284"/>
              <w:jc w:val="right"/>
              <w:rPr>
                <w:rFonts w:asciiTheme="minorBidi" w:hAnsiTheme="minorBidi"/>
                <w:b/>
                <w:bCs/>
                <w:color w:val="000000"/>
                <w:sz w:val="24"/>
                <w:szCs w:val="24"/>
                <w:rtl/>
              </w:rPr>
            </w:pPr>
            <w:r w:rsidRPr="004D2E8C">
              <w:rPr>
                <w:rFonts w:asciiTheme="minorBidi" w:hAnsiTheme="minorBidi"/>
                <w:b/>
                <w:bCs/>
                <w:color w:val="000000"/>
                <w:sz w:val="24"/>
                <w:szCs w:val="24"/>
                <w:rtl/>
              </w:rPr>
              <w:t>3</w:t>
            </w:r>
          </w:p>
        </w:tc>
        <w:tc>
          <w:tcPr>
            <w:tcW w:w="1559" w:type="dxa"/>
            <w:tcBorders>
              <w:top w:val="nil"/>
              <w:bottom w:val="nil"/>
            </w:tcBorders>
            <w:vAlign w:val="center"/>
          </w:tcPr>
          <w:p w14:paraId="038F4153" w14:textId="77777777" w:rsidR="00C22A80" w:rsidRPr="00494431" w:rsidRDefault="004D2E8C" w:rsidP="00C22A80">
            <w:pPr>
              <w:ind w:right="510"/>
              <w:jc w:val="right"/>
              <w:rPr>
                <w:rFonts w:asciiTheme="minorBidi" w:hAnsiTheme="minorBidi"/>
                <w:color w:val="000000"/>
                <w:sz w:val="24"/>
                <w:szCs w:val="24"/>
                <w:rtl/>
              </w:rPr>
            </w:pPr>
            <w:r>
              <w:rPr>
                <w:rFonts w:asciiTheme="minorBidi" w:hAnsiTheme="minorBidi" w:hint="cs"/>
                <w:color w:val="000000"/>
                <w:sz w:val="24"/>
                <w:szCs w:val="24"/>
                <w:rtl/>
              </w:rPr>
              <w:t>57</w:t>
            </w:r>
          </w:p>
        </w:tc>
        <w:tc>
          <w:tcPr>
            <w:tcW w:w="1134" w:type="dxa"/>
            <w:tcBorders>
              <w:top w:val="nil"/>
              <w:bottom w:val="nil"/>
            </w:tcBorders>
            <w:vAlign w:val="center"/>
          </w:tcPr>
          <w:p w14:paraId="29C9C32D" w14:textId="77777777" w:rsidR="00C22A80" w:rsidRPr="00C22A80" w:rsidRDefault="00C22A80" w:rsidP="004D2E8C">
            <w:pPr>
              <w:tabs>
                <w:tab w:val="right" w:pos="597"/>
              </w:tabs>
              <w:ind w:right="227"/>
              <w:jc w:val="right"/>
              <w:rPr>
                <w:rFonts w:asciiTheme="minorBidi" w:hAnsiTheme="minorBidi"/>
                <w:color w:val="000000"/>
                <w:sz w:val="24"/>
                <w:szCs w:val="24"/>
                <w:lang w:val="en-US"/>
              </w:rPr>
            </w:pPr>
            <w:r w:rsidRPr="00494431">
              <w:rPr>
                <w:rFonts w:asciiTheme="minorBidi" w:hAnsiTheme="minorBidi" w:hint="cs"/>
                <w:color w:val="000000"/>
                <w:sz w:val="24"/>
                <w:szCs w:val="24"/>
                <w:rtl/>
              </w:rPr>
              <w:t>2</w:t>
            </w:r>
            <w:r>
              <w:rPr>
                <w:rFonts w:asciiTheme="minorBidi" w:hAnsiTheme="minorBidi"/>
                <w:color w:val="000000"/>
                <w:sz w:val="24"/>
                <w:szCs w:val="24"/>
                <w:lang w:val="en-US"/>
              </w:rPr>
              <w:t>0</w:t>
            </w:r>
          </w:p>
        </w:tc>
        <w:tc>
          <w:tcPr>
            <w:tcW w:w="1418" w:type="dxa"/>
            <w:tcBorders>
              <w:top w:val="nil"/>
              <w:bottom w:val="nil"/>
            </w:tcBorders>
            <w:vAlign w:val="center"/>
          </w:tcPr>
          <w:p w14:paraId="3C516DC3" w14:textId="77777777" w:rsidR="00C22A80" w:rsidRPr="00494431" w:rsidRDefault="00C22A80" w:rsidP="00C22A80">
            <w:pPr>
              <w:ind w:right="397"/>
              <w:jc w:val="right"/>
              <w:rPr>
                <w:rFonts w:asciiTheme="minorBidi" w:hAnsiTheme="minorBidi"/>
                <w:color w:val="000000"/>
                <w:sz w:val="24"/>
                <w:szCs w:val="24"/>
                <w:rtl/>
              </w:rPr>
            </w:pPr>
            <w:r w:rsidRPr="00494431">
              <w:rPr>
                <w:rFonts w:asciiTheme="minorBidi" w:hAnsiTheme="minorBidi" w:hint="cs"/>
                <w:color w:val="000000"/>
                <w:sz w:val="24"/>
                <w:szCs w:val="24"/>
                <w:rtl/>
              </w:rPr>
              <w:t>3</w:t>
            </w:r>
            <w:r>
              <w:rPr>
                <w:rFonts w:asciiTheme="minorBidi" w:hAnsiTheme="minorBidi"/>
                <w:color w:val="000000"/>
                <w:sz w:val="24"/>
                <w:szCs w:val="24"/>
              </w:rPr>
              <w:t>7</w:t>
            </w:r>
          </w:p>
        </w:tc>
        <w:tc>
          <w:tcPr>
            <w:tcW w:w="1134" w:type="dxa"/>
            <w:tcBorders>
              <w:top w:val="nil"/>
              <w:bottom w:val="nil"/>
            </w:tcBorders>
            <w:vAlign w:val="center"/>
          </w:tcPr>
          <w:p w14:paraId="1AECB892" w14:textId="77777777" w:rsidR="00C22A80" w:rsidRPr="00494431" w:rsidRDefault="00C22A80" w:rsidP="00C22A80">
            <w:pPr>
              <w:tabs>
                <w:tab w:val="right" w:pos="671"/>
              </w:tabs>
              <w:ind w:right="340"/>
              <w:jc w:val="right"/>
              <w:rPr>
                <w:rFonts w:asciiTheme="minorBidi" w:hAnsiTheme="minorBidi"/>
                <w:color w:val="000000"/>
                <w:sz w:val="24"/>
                <w:szCs w:val="24"/>
                <w:rtl/>
              </w:rPr>
            </w:pPr>
            <w:r>
              <w:rPr>
                <w:rFonts w:asciiTheme="minorBidi" w:hAnsiTheme="minorBidi"/>
                <w:color w:val="000000"/>
                <w:sz w:val="24"/>
                <w:szCs w:val="24"/>
              </w:rPr>
              <w:t>0</w:t>
            </w:r>
          </w:p>
        </w:tc>
        <w:tc>
          <w:tcPr>
            <w:tcW w:w="1558" w:type="dxa"/>
            <w:tcBorders>
              <w:top w:val="nil"/>
              <w:bottom w:val="nil"/>
            </w:tcBorders>
            <w:shd w:val="clear" w:color="auto" w:fill="auto"/>
            <w:vAlign w:val="center"/>
          </w:tcPr>
          <w:p w14:paraId="06716DA4" w14:textId="77777777" w:rsidR="00C22A80" w:rsidRPr="0026394F" w:rsidRDefault="00C22A80" w:rsidP="004D2E8C">
            <w:pPr>
              <w:ind w:right="462"/>
              <w:jc w:val="right"/>
              <w:rPr>
                <w:rFonts w:asciiTheme="minorBidi" w:hAnsiTheme="minorBidi"/>
                <w:sz w:val="24"/>
                <w:szCs w:val="24"/>
                <w:rtl/>
              </w:rPr>
            </w:pPr>
            <w:r>
              <w:rPr>
                <w:rFonts w:asciiTheme="minorBidi" w:hAnsiTheme="minorBidi" w:hint="cs"/>
                <w:sz w:val="24"/>
                <w:szCs w:val="24"/>
                <w:rtl/>
              </w:rPr>
              <w:t>4</w:t>
            </w:r>
            <w:r w:rsidRPr="0026394F">
              <w:rPr>
                <w:rFonts w:asciiTheme="minorBidi" w:hAnsiTheme="minorBidi"/>
                <w:sz w:val="24"/>
                <w:szCs w:val="24"/>
                <w:rtl/>
              </w:rPr>
              <w:t>7</w:t>
            </w:r>
          </w:p>
        </w:tc>
      </w:tr>
      <w:tr w:rsidR="00C22A80" w:rsidRPr="00494431" w14:paraId="5244DA68" w14:textId="77777777" w:rsidTr="00C03E49">
        <w:trPr>
          <w:trHeight w:val="397"/>
          <w:jc w:val="center"/>
        </w:trPr>
        <w:tc>
          <w:tcPr>
            <w:tcW w:w="1135" w:type="dxa"/>
            <w:tcBorders>
              <w:top w:val="nil"/>
              <w:bottom w:val="nil"/>
            </w:tcBorders>
            <w:shd w:val="clear" w:color="auto" w:fill="auto"/>
            <w:vAlign w:val="center"/>
          </w:tcPr>
          <w:p w14:paraId="229C68E0" w14:textId="77777777" w:rsidR="00C22A80" w:rsidRPr="004D2E8C" w:rsidRDefault="00C22A80" w:rsidP="00C22A80">
            <w:pPr>
              <w:ind w:right="284"/>
              <w:jc w:val="right"/>
              <w:rPr>
                <w:rFonts w:asciiTheme="minorBidi" w:hAnsiTheme="minorBidi"/>
                <w:b/>
                <w:bCs/>
                <w:color w:val="000000"/>
                <w:sz w:val="24"/>
                <w:szCs w:val="24"/>
                <w:rtl/>
              </w:rPr>
            </w:pPr>
            <w:r w:rsidRPr="004D2E8C">
              <w:rPr>
                <w:rFonts w:asciiTheme="minorBidi" w:hAnsiTheme="minorBidi"/>
                <w:b/>
                <w:bCs/>
                <w:color w:val="000000"/>
                <w:sz w:val="24"/>
                <w:szCs w:val="24"/>
                <w:rtl/>
              </w:rPr>
              <w:t>4</w:t>
            </w:r>
          </w:p>
        </w:tc>
        <w:tc>
          <w:tcPr>
            <w:tcW w:w="1559" w:type="dxa"/>
            <w:tcBorders>
              <w:top w:val="nil"/>
              <w:bottom w:val="nil"/>
            </w:tcBorders>
            <w:vAlign w:val="center"/>
          </w:tcPr>
          <w:p w14:paraId="65702D38" w14:textId="77777777" w:rsidR="00C22A80" w:rsidRPr="00494431" w:rsidRDefault="004D2E8C" w:rsidP="00C22A80">
            <w:pPr>
              <w:ind w:right="510"/>
              <w:jc w:val="right"/>
              <w:rPr>
                <w:rFonts w:asciiTheme="minorBidi" w:hAnsiTheme="minorBidi"/>
                <w:color w:val="000000"/>
                <w:sz w:val="24"/>
                <w:szCs w:val="24"/>
                <w:rtl/>
              </w:rPr>
            </w:pPr>
            <w:r>
              <w:rPr>
                <w:rFonts w:asciiTheme="minorBidi" w:hAnsiTheme="minorBidi" w:hint="cs"/>
                <w:color w:val="000000"/>
                <w:sz w:val="24"/>
                <w:szCs w:val="24"/>
                <w:rtl/>
              </w:rPr>
              <w:t>45</w:t>
            </w:r>
          </w:p>
        </w:tc>
        <w:tc>
          <w:tcPr>
            <w:tcW w:w="1134" w:type="dxa"/>
            <w:tcBorders>
              <w:top w:val="nil"/>
              <w:bottom w:val="nil"/>
            </w:tcBorders>
            <w:vAlign w:val="center"/>
          </w:tcPr>
          <w:p w14:paraId="1B83A100" w14:textId="77777777" w:rsidR="00C22A80" w:rsidRPr="00494431" w:rsidRDefault="00C22A80" w:rsidP="004D2E8C">
            <w:pPr>
              <w:tabs>
                <w:tab w:val="right" w:pos="597"/>
              </w:tabs>
              <w:ind w:right="227"/>
              <w:jc w:val="right"/>
              <w:rPr>
                <w:rFonts w:asciiTheme="minorBidi" w:hAnsiTheme="minorBidi"/>
                <w:color w:val="000000"/>
                <w:sz w:val="24"/>
                <w:szCs w:val="24"/>
                <w:lang w:val="en-US"/>
              </w:rPr>
            </w:pPr>
            <w:r w:rsidRPr="00494431">
              <w:rPr>
                <w:rFonts w:asciiTheme="minorBidi" w:hAnsiTheme="minorBidi" w:hint="cs"/>
                <w:color w:val="000000"/>
                <w:sz w:val="24"/>
                <w:szCs w:val="24"/>
                <w:rtl/>
              </w:rPr>
              <w:t>1</w:t>
            </w:r>
            <w:r>
              <w:rPr>
                <w:rFonts w:asciiTheme="minorBidi" w:hAnsiTheme="minorBidi"/>
                <w:color w:val="000000"/>
                <w:sz w:val="24"/>
                <w:szCs w:val="24"/>
              </w:rPr>
              <w:t>0</w:t>
            </w:r>
          </w:p>
        </w:tc>
        <w:tc>
          <w:tcPr>
            <w:tcW w:w="1418" w:type="dxa"/>
            <w:tcBorders>
              <w:top w:val="nil"/>
              <w:bottom w:val="nil"/>
            </w:tcBorders>
            <w:vAlign w:val="center"/>
          </w:tcPr>
          <w:p w14:paraId="23C446CE" w14:textId="77777777" w:rsidR="00C22A80" w:rsidRPr="00494431" w:rsidRDefault="00C22A80" w:rsidP="00C22A80">
            <w:pPr>
              <w:ind w:right="397"/>
              <w:jc w:val="right"/>
              <w:rPr>
                <w:rFonts w:asciiTheme="minorBidi" w:hAnsiTheme="minorBidi"/>
                <w:color w:val="000000"/>
                <w:sz w:val="24"/>
                <w:szCs w:val="24"/>
                <w:rtl/>
              </w:rPr>
            </w:pPr>
            <w:r>
              <w:rPr>
                <w:rFonts w:asciiTheme="minorBidi" w:hAnsiTheme="minorBidi"/>
                <w:color w:val="000000"/>
                <w:sz w:val="24"/>
                <w:szCs w:val="24"/>
              </w:rPr>
              <w:t>35</w:t>
            </w:r>
          </w:p>
        </w:tc>
        <w:tc>
          <w:tcPr>
            <w:tcW w:w="1134" w:type="dxa"/>
            <w:tcBorders>
              <w:top w:val="nil"/>
              <w:bottom w:val="nil"/>
            </w:tcBorders>
            <w:vAlign w:val="center"/>
          </w:tcPr>
          <w:p w14:paraId="3BDD2374" w14:textId="77777777" w:rsidR="00C22A80" w:rsidRPr="00494431" w:rsidRDefault="00C22A80" w:rsidP="00C22A80">
            <w:pPr>
              <w:tabs>
                <w:tab w:val="right" w:pos="671"/>
              </w:tabs>
              <w:ind w:right="340"/>
              <w:jc w:val="right"/>
              <w:rPr>
                <w:rFonts w:asciiTheme="minorBidi" w:hAnsiTheme="minorBidi"/>
                <w:color w:val="000000"/>
                <w:sz w:val="24"/>
                <w:szCs w:val="24"/>
                <w:rtl/>
              </w:rPr>
            </w:pPr>
            <w:r>
              <w:rPr>
                <w:rFonts w:asciiTheme="minorBidi" w:hAnsiTheme="minorBidi"/>
                <w:color w:val="000000"/>
                <w:sz w:val="24"/>
                <w:szCs w:val="24"/>
              </w:rPr>
              <w:t>0</w:t>
            </w:r>
          </w:p>
        </w:tc>
        <w:tc>
          <w:tcPr>
            <w:tcW w:w="1558" w:type="dxa"/>
            <w:tcBorders>
              <w:top w:val="nil"/>
              <w:bottom w:val="nil"/>
            </w:tcBorders>
            <w:shd w:val="clear" w:color="auto" w:fill="auto"/>
            <w:vAlign w:val="center"/>
          </w:tcPr>
          <w:p w14:paraId="2DA5F215" w14:textId="77777777" w:rsidR="00C22A80" w:rsidRPr="0026394F" w:rsidRDefault="00C22A80" w:rsidP="004D2E8C">
            <w:pPr>
              <w:ind w:right="462"/>
              <w:jc w:val="right"/>
              <w:rPr>
                <w:rFonts w:asciiTheme="minorBidi" w:hAnsiTheme="minorBidi"/>
                <w:sz w:val="24"/>
                <w:szCs w:val="24"/>
                <w:rtl/>
              </w:rPr>
            </w:pPr>
            <w:r>
              <w:rPr>
                <w:rFonts w:asciiTheme="minorBidi" w:hAnsiTheme="minorBidi" w:hint="cs"/>
                <w:sz w:val="24"/>
                <w:szCs w:val="24"/>
                <w:rtl/>
              </w:rPr>
              <w:t>39</w:t>
            </w:r>
          </w:p>
        </w:tc>
      </w:tr>
      <w:tr w:rsidR="00C22A80" w:rsidRPr="00494431" w14:paraId="625776A6" w14:textId="77777777" w:rsidTr="00C03E49">
        <w:trPr>
          <w:trHeight w:val="397"/>
          <w:jc w:val="center"/>
        </w:trPr>
        <w:tc>
          <w:tcPr>
            <w:tcW w:w="1135" w:type="dxa"/>
            <w:tcBorders>
              <w:top w:val="nil"/>
              <w:bottom w:val="nil"/>
            </w:tcBorders>
            <w:shd w:val="clear" w:color="auto" w:fill="auto"/>
            <w:vAlign w:val="center"/>
          </w:tcPr>
          <w:p w14:paraId="367BAC43" w14:textId="77777777" w:rsidR="00C22A80" w:rsidRPr="004D2E8C" w:rsidRDefault="00C22A80" w:rsidP="00C22A80">
            <w:pPr>
              <w:ind w:right="284"/>
              <w:jc w:val="right"/>
              <w:rPr>
                <w:rFonts w:asciiTheme="minorBidi" w:hAnsiTheme="minorBidi"/>
                <w:b/>
                <w:bCs/>
                <w:color w:val="000000"/>
                <w:sz w:val="24"/>
                <w:szCs w:val="24"/>
                <w:rtl/>
              </w:rPr>
            </w:pPr>
            <w:r w:rsidRPr="004D2E8C">
              <w:rPr>
                <w:rFonts w:asciiTheme="minorBidi" w:hAnsiTheme="minorBidi"/>
                <w:b/>
                <w:bCs/>
                <w:color w:val="000000"/>
                <w:sz w:val="24"/>
                <w:szCs w:val="24"/>
                <w:rtl/>
              </w:rPr>
              <w:t>5</w:t>
            </w:r>
          </w:p>
        </w:tc>
        <w:tc>
          <w:tcPr>
            <w:tcW w:w="1559" w:type="dxa"/>
            <w:tcBorders>
              <w:top w:val="nil"/>
              <w:bottom w:val="nil"/>
            </w:tcBorders>
            <w:vAlign w:val="center"/>
          </w:tcPr>
          <w:p w14:paraId="418C5012" w14:textId="77777777" w:rsidR="00C22A80" w:rsidRPr="00494431" w:rsidRDefault="004D2E8C" w:rsidP="00C22A80">
            <w:pPr>
              <w:ind w:right="510"/>
              <w:jc w:val="right"/>
              <w:rPr>
                <w:rFonts w:asciiTheme="minorBidi" w:hAnsiTheme="minorBidi"/>
                <w:color w:val="000000"/>
                <w:sz w:val="24"/>
                <w:szCs w:val="24"/>
                <w:rtl/>
              </w:rPr>
            </w:pPr>
            <w:r>
              <w:rPr>
                <w:rFonts w:asciiTheme="minorBidi" w:hAnsiTheme="minorBidi" w:hint="cs"/>
                <w:color w:val="000000"/>
                <w:sz w:val="24"/>
                <w:szCs w:val="24"/>
                <w:rtl/>
              </w:rPr>
              <w:t>60</w:t>
            </w:r>
          </w:p>
        </w:tc>
        <w:tc>
          <w:tcPr>
            <w:tcW w:w="1134" w:type="dxa"/>
            <w:tcBorders>
              <w:top w:val="nil"/>
              <w:bottom w:val="nil"/>
            </w:tcBorders>
            <w:vAlign w:val="center"/>
          </w:tcPr>
          <w:p w14:paraId="3EE89230" w14:textId="77777777" w:rsidR="00C22A80" w:rsidRPr="00494431" w:rsidRDefault="00C22A80" w:rsidP="004D2E8C">
            <w:pPr>
              <w:tabs>
                <w:tab w:val="right" w:pos="597"/>
              </w:tabs>
              <w:ind w:right="227"/>
              <w:jc w:val="right"/>
              <w:rPr>
                <w:rFonts w:asciiTheme="minorBidi" w:hAnsiTheme="minorBidi"/>
                <w:color w:val="000000"/>
                <w:sz w:val="24"/>
                <w:szCs w:val="24"/>
                <w:rtl/>
              </w:rPr>
            </w:pPr>
            <w:r>
              <w:rPr>
                <w:rFonts w:asciiTheme="minorBidi" w:hAnsiTheme="minorBidi"/>
                <w:color w:val="000000"/>
                <w:sz w:val="24"/>
                <w:szCs w:val="24"/>
              </w:rPr>
              <w:t>4</w:t>
            </w:r>
          </w:p>
        </w:tc>
        <w:tc>
          <w:tcPr>
            <w:tcW w:w="1418" w:type="dxa"/>
            <w:tcBorders>
              <w:top w:val="nil"/>
              <w:bottom w:val="nil"/>
            </w:tcBorders>
            <w:vAlign w:val="center"/>
          </w:tcPr>
          <w:p w14:paraId="7B3D187F" w14:textId="77777777" w:rsidR="00C22A80" w:rsidRPr="00494431" w:rsidRDefault="00C22A80" w:rsidP="00C22A80">
            <w:pPr>
              <w:ind w:right="397"/>
              <w:jc w:val="right"/>
              <w:rPr>
                <w:rFonts w:asciiTheme="minorBidi" w:hAnsiTheme="minorBidi"/>
                <w:color w:val="000000"/>
                <w:sz w:val="24"/>
                <w:szCs w:val="24"/>
                <w:rtl/>
              </w:rPr>
            </w:pPr>
            <w:r>
              <w:rPr>
                <w:rFonts w:asciiTheme="minorBidi" w:hAnsiTheme="minorBidi"/>
                <w:color w:val="000000"/>
                <w:sz w:val="24"/>
                <w:szCs w:val="24"/>
              </w:rPr>
              <w:t>41</w:t>
            </w:r>
          </w:p>
        </w:tc>
        <w:tc>
          <w:tcPr>
            <w:tcW w:w="1134" w:type="dxa"/>
            <w:tcBorders>
              <w:top w:val="nil"/>
              <w:bottom w:val="nil"/>
            </w:tcBorders>
            <w:vAlign w:val="center"/>
          </w:tcPr>
          <w:p w14:paraId="71E1B0E7" w14:textId="77777777" w:rsidR="00C22A80" w:rsidRPr="00494431" w:rsidRDefault="00C22A80" w:rsidP="00C22A80">
            <w:pPr>
              <w:tabs>
                <w:tab w:val="right" w:pos="671"/>
              </w:tabs>
              <w:ind w:right="340"/>
              <w:jc w:val="right"/>
              <w:rPr>
                <w:rFonts w:asciiTheme="minorBidi" w:hAnsiTheme="minorBidi"/>
                <w:color w:val="000000"/>
                <w:sz w:val="24"/>
                <w:szCs w:val="24"/>
                <w:rtl/>
              </w:rPr>
            </w:pPr>
            <w:r>
              <w:rPr>
                <w:rFonts w:asciiTheme="minorBidi" w:hAnsiTheme="minorBidi"/>
                <w:color w:val="000000"/>
                <w:sz w:val="24"/>
                <w:szCs w:val="24"/>
              </w:rPr>
              <w:t>15</w:t>
            </w:r>
          </w:p>
        </w:tc>
        <w:tc>
          <w:tcPr>
            <w:tcW w:w="1558" w:type="dxa"/>
            <w:tcBorders>
              <w:top w:val="nil"/>
              <w:bottom w:val="nil"/>
            </w:tcBorders>
            <w:shd w:val="clear" w:color="auto" w:fill="auto"/>
            <w:vAlign w:val="center"/>
          </w:tcPr>
          <w:p w14:paraId="7A4C75FD" w14:textId="77777777" w:rsidR="00C22A80" w:rsidRPr="0026394F" w:rsidRDefault="00C22A80" w:rsidP="004D2E8C">
            <w:pPr>
              <w:ind w:right="462"/>
              <w:jc w:val="right"/>
              <w:rPr>
                <w:rFonts w:asciiTheme="minorBidi" w:hAnsiTheme="minorBidi"/>
                <w:sz w:val="24"/>
                <w:szCs w:val="24"/>
                <w:rtl/>
              </w:rPr>
            </w:pPr>
            <w:r>
              <w:rPr>
                <w:rFonts w:asciiTheme="minorBidi" w:hAnsiTheme="minorBidi"/>
                <w:sz w:val="24"/>
                <w:szCs w:val="24"/>
              </w:rPr>
              <w:t>41</w:t>
            </w:r>
          </w:p>
        </w:tc>
      </w:tr>
      <w:tr w:rsidR="00F142A3" w:rsidRPr="00494431" w14:paraId="3B2CB019" w14:textId="77777777" w:rsidTr="00C03E49">
        <w:trPr>
          <w:trHeight w:val="397"/>
          <w:jc w:val="center"/>
        </w:trPr>
        <w:tc>
          <w:tcPr>
            <w:tcW w:w="1135" w:type="dxa"/>
            <w:tcBorders>
              <w:top w:val="nil"/>
              <w:bottom w:val="nil"/>
            </w:tcBorders>
            <w:shd w:val="clear" w:color="auto" w:fill="auto"/>
            <w:vAlign w:val="center"/>
          </w:tcPr>
          <w:p w14:paraId="506FB55D" w14:textId="77777777" w:rsidR="00C22A80" w:rsidRPr="004D2E8C" w:rsidRDefault="00C22A80" w:rsidP="00C22A80">
            <w:pPr>
              <w:ind w:right="284"/>
              <w:jc w:val="right"/>
              <w:rPr>
                <w:rFonts w:asciiTheme="minorBidi" w:hAnsiTheme="minorBidi"/>
                <w:b/>
                <w:bCs/>
                <w:color w:val="000000"/>
                <w:sz w:val="24"/>
                <w:szCs w:val="24"/>
                <w:rtl/>
              </w:rPr>
            </w:pPr>
            <w:r w:rsidRPr="004D2E8C">
              <w:rPr>
                <w:rFonts w:asciiTheme="minorBidi" w:hAnsiTheme="minorBidi"/>
                <w:b/>
                <w:bCs/>
                <w:color w:val="000000"/>
                <w:sz w:val="24"/>
                <w:szCs w:val="24"/>
                <w:rtl/>
              </w:rPr>
              <w:t>6</w:t>
            </w:r>
          </w:p>
        </w:tc>
        <w:tc>
          <w:tcPr>
            <w:tcW w:w="1559" w:type="dxa"/>
            <w:tcBorders>
              <w:top w:val="nil"/>
              <w:bottom w:val="nil"/>
            </w:tcBorders>
            <w:vAlign w:val="center"/>
          </w:tcPr>
          <w:p w14:paraId="688DA2AD" w14:textId="77777777" w:rsidR="00C22A80" w:rsidRPr="00494431" w:rsidRDefault="00C22A80" w:rsidP="004D2E8C">
            <w:pPr>
              <w:ind w:right="510"/>
              <w:jc w:val="right"/>
              <w:rPr>
                <w:rFonts w:asciiTheme="minorBidi" w:hAnsiTheme="minorBidi"/>
                <w:color w:val="000000"/>
                <w:sz w:val="24"/>
                <w:szCs w:val="24"/>
                <w:rtl/>
              </w:rPr>
            </w:pPr>
            <w:r w:rsidRPr="00494431">
              <w:rPr>
                <w:rFonts w:asciiTheme="minorBidi" w:hAnsiTheme="minorBidi"/>
                <w:color w:val="000000"/>
                <w:sz w:val="24"/>
                <w:szCs w:val="24"/>
                <w:rtl/>
              </w:rPr>
              <w:t>2</w:t>
            </w:r>
            <w:r w:rsidR="004D2E8C">
              <w:rPr>
                <w:rFonts w:asciiTheme="minorBidi" w:hAnsiTheme="minorBidi" w:hint="cs"/>
                <w:color w:val="000000"/>
                <w:sz w:val="24"/>
                <w:szCs w:val="24"/>
                <w:rtl/>
              </w:rPr>
              <w:t>7</w:t>
            </w:r>
          </w:p>
        </w:tc>
        <w:tc>
          <w:tcPr>
            <w:tcW w:w="1134" w:type="dxa"/>
            <w:tcBorders>
              <w:top w:val="nil"/>
              <w:bottom w:val="nil"/>
            </w:tcBorders>
            <w:vAlign w:val="center"/>
          </w:tcPr>
          <w:p w14:paraId="1CA6A449" w14:textId="77777777" w:rsidR="00C22A80" w:rsidRPr="007D064C" w:rsidRDefault="00C22A80" w:rsidP="007D064C">
            <w:pPr>
              <w:tabs>
                <w:tab w:val="right" w:pos="597"/>
              </w:tabs>
              <w:ind w:right="227"/>
              <w:jc w:val="right"/>
              <w:rPr>
                <w:rFonts w:asciiTheme="minorBidi" w:hAnsiTheme="minorBidi"/>
                <w:color w:val="000000"/>
                <w:sz w:val="24"/>
                <w:szCs w:val="24"/>
                <w:rtl/>
              </w:rPr>
            </w:pPr>
            <w:r w:rsidRPr="007D064C">
              <w:rPr>
                <w:rFonts w:asciiTheme="minorBidi" w:hAnsiTheme="minorBidi"/>
                <w:color w:val="000000"/>
                <w:sz w:val="24"/>
                <w:szCs w:val="24"/>
                <w:rtl/>
              </w:rPr>
              <w:t>0</w:t>
            </w:r>
          </w:p>
        </w:tc>
        <w:tc>
          <w:tcPr>
            <w:tcW w:w="1418" w:type="dxa"/>
            <w:tcBorders>
              <w:top w:val="nil"/>
              <w:bottom w:val="nil"/>
            </w:tcBorders>
            <w:vAlign w:val="center"/>
          </w:tcPr>
          <w:p w14:paraId="3FF94B67" w14:textId="5E680ED5" w:rsidR="00C22A80" w:rsidRPr="007D064C" w:rsidRDefault="00C22A80" w:rsidP="007D064C">
            <w:pPr>
              <w:ind w:right="397"/>
              <w:jc w:val="right"/>
              <w:rPr>
                <w:rFonts w:asciiTheme="minorBidi" w:hAnsiTheme="minorBidi"/>
                <w:color w:val="000000"/>
                <w:sz w:val="24"/>
                <w:szCs w:val="24"/>
                <w:rtl/>
              </w:rPr>
            </w:pPr>
            <w:r w:rsidRPr="00494431">
              <w:rPr>
                <w:rFonts w:asciiTheme="minorBidi" w:hAnsiTheme="minorBidi"/>
                <w:color w:val="000000"/>
                <w:sz w:val="24"/>
                <w:szCs w:val="24"/>
                <w:rtl/>
              </w:rPr>
              <w:t>2</w:t>
            </w:r>
            <w:r>
              <w:rPr>
                <w:rFonts w:asciiTheme="minorBidi" w:hAnsiTheme="minorBidi"/>
                <w:color w:val="000000"/>
                <w:sz w:val="24"/>
                <w:szCs w:val="24"/>
              </w:rPr>
              <w:t>7</w:t>
            </w:r>
          </w:p>
        </w:tc>
        <w:tc>
          <w:tcPr>
            <w:tcW w:w="1134" w:type="dxa"/>
            <w:tcBorders>
              <w:top w:val="nil"/>
              <w:bottom w:val="nil"/>
            </w:tcBorders>
            <w:vAlign w:val="center"/>
          </w:tcPr>
          <w:p w14:paraId="59CE81D0" w14:textId="77777777" w:rsidR="00C22A80" w:rsidRPr="00494431" w:rsidRDefault="00C22A80" w:rsidP="00C22A80">
            <w:pPr>
              <w:tabs>
                <w:tab w:val="right" w:pos="671"/>
              </w:tabs>
              <w:ind w:right="340"/>
              <w:jc w:val="right"/>
              <w:rPr>
                <w:rFonts w:asciiTheme="minorBidi" w:hAnsiTheme="minorBidi"/>
                <w:color w:val="000000"/>
                <w:sz w:val="24"/>
                <w:szCs w:val="24"/>
                <w:rtl/>
              </w:rPr>
            </w:pPr>
            <w:r>
              <w:rPr>
                <w:rFonts w:asciiTheme="minorBidi" w:hAnsiTheme="minorBidi"/>
                <w:color w:val="000000"/>
                <w:sz w:val="24"/>
                <w:szCs w:val="24"/>
              </w:rPr>
              <w:t>0</w:t>
            </w:r>
          </w:p>
        </w:tc>
        <w:tc>
          <w:tcPr>
            <w:tcW w:w="1558" w:type="dxa"/>
            <w:tcBorders>
              <w:top w:val="nil"/>
              <w:bottom w:val="nil"/>
            </w:tcBorders>
            <w:shd w:val="clear" w:color="auto" w:fill="auto"/>
            <w:vAlign w:val="center"/>
          </w:tcPr>
          <w:p w14:paraId="6256E8C5" w14:textId="77777777" w:rsidR="00C22A80" w:rsidRPr="0026394F" w:rsidRDefault="00C22A80" w:rsidP="004D2E8C">
            <w:pPr>
              <w:ind w:right="462"/>
              <w:jc w:val="right"/>
              <w:rPr>
                <w:rFonts w:asciiTheme="minorBidi" w:hAnsiTheme="minorBidi"/>
                <w:sz w:val="24"/>
                <w:szCs w:val="24"/>
                <w:rtl/>
              </w:rPr>
            </w:pPr>
            <w:r>
              <w:rPr>
                <w:rFonts w:asciiTheme="minorBidi" w:hAnsiTheme="minorBidi"/>
                <w:sz w:val="24"/>
                <w:szCs w:val="24"/>
              </w:rPr>
              <w:t>45</w:t>
            </w:r>
          </w:p>
        </w:tc>
      </w:tr>
      <w:tr w:rsidR="00C22A80" w:rsidRPr="00494431" w14:paraId="5B5D5C17" w14:textId="77777777" w:rsidTr="00C03E49">
        <w:trPr>
          <w:trHeight w:val="397"/>
          <w:jc w:val="center"/>
        </w:trPr>
        <w:tc>
          <w:tcPr>
            <w:tcW w:w="1135" w:type="dxa"/>
            <w:tcBorders>
              <w:top w:val="nil"/>
              <w:bottom w:val="nil"/>
            </w:tcBorders>
            <w:shd w:val="clear" w:color="auto" w:fill="auto"/>
            <w:vAlign w:val="center"/>
          </w:tcPr>
          <w:p w14:paraId="3C6C8374" w14:textId="77777777" w:rsidR="00C22A80" w:rsidRPr="004D2E8C" w:rsidRDefault="00C22A80" w:rsidP="00C22A80">
            <w:pPr>
              <w:ind w:right="284"/>
              <w:jc w:val="right"/>
              <w:rPr>
                <w:rFonts w:asciiTheme="minorBidi" w:hAnsiTheme="minorBidi"/>
                <w:b/>
                <w:bCs/>
                <w:color w:val="000000"/>
                <w:sz w:val="24"/>
                <w:szCs w:val="24"/>
                <w:rtl/>
              </w:rPr>
            </w:pPr>
            <w:r w:rsidRPr="004D2E8C">
              <w:rPr>
                <w:rFonts w:asciiTheme="minorBidi" w:hAnsiTheme="minorBidi"/>
                <w:b/>
                <w:bCs/>
                <w:color w:val="000000"/>
                <w:sz w:val="24"/>
                <w:szCs w:val="24"/>
                <w:rtl/>
              </w:rPr>
              <w:t>7</w:t>
            </w:r>
          </w:p>
        </w:tc>
        <w:tc>
          <w:tcPr>
            <w:tcW w:w="1559" w:type="dxa"/>
            <w:tcBorders>
              <w:top w:val="nil"/>
              <w:bottom w:val="nil"/>
            </w:tcBorders>
            <w:vAlign w:val="center"/>
          </w:tcPr>
          <w:p w14:paraId="29FBC0D9" w14:textId="77777777" w:rsidR="00C22A80" w:rsidRPr="00494431" w:rsidRDefault="004D2E8C" w:rsidP="00C22A80">
            <w:pPr>
              <w:ind w:right="510"/>
              <w:jc w:val="right"/>
              <w:rPr>
                <w:rFonts w:asciiTheme="minorBidi" w:hAnsiTheme="minorBidi"/>
                <w:color w:val="000000"/>
                <w:sz w:val="24"/>
                <w:szCs w:val="24"/>
                <w:rtl/>
              </w:rPr>
            </w:pPr>
            <w:r>
              <w:rPr>
                <w:rFonts w:asciiTheme="minorBidi" w:hAnsiTheme="minorBidi" w:hint="cs"/>
                <w:color w:val="000000"/>
                <w:sz w:val="24"/>
                <w:szCs w:val="24"/>
                <w:rtl/>
              </w:rPr>
              <w:t>21</w:t>
            </w:r>
          </w:p>
        </w:tc>
        <w:tc>
          <w:tcPr>
            <w:tcW w:w="1134" w:type="dxa"/>
            <w:tcBorders>
              <w:top w:val="nil"/>
              <w:bottom w:val="nil"/>
            </w:tcBorders>
            <w:vAlign w:val="center"/>
          </w:tcPr>
          <w:p w14:paraId="3A221827" w14:textId="77777777" w:rsidR="00C22A80" w:rsidRPr="00494431" w:rsidRDefault="00C22A80" w:rsidP="004D2E8C">
            <w:pPr>
              <w:tabs>
                <w:tab w:val="right" w:pos="597"/>
              </w:tabs>
              <w:ind w:right="227"/>
              <w:jc w:val="right"/>
              <w:rPr>
                <w:rFonts w:asciiTheme="minorBidi" w:hAnsiTheme="minorBidi"/>
                <w:color w:val="000000"/>
                <w:sz w:val="24"/>
                <w:szCs w:val="24"/>
                <w:rtl/>
              </w:rPr>
            </w:pPr>
            <w:r>
              <w:rPr>
                <w:rFonts w:asciiTheme="minorBidi" w:hAnsiTheme="minorBidi"/>
                <w:color w:val="000000"/>
                <w:sz w:val="24"/>
                <w:szCs w:val="24"/>
              </w:rPr>
              <w:t>3</w:t>
            </w:r>
          </w:p>
        </w:tc>
        <w:tc>
          <w:tcPr>
            <w:tcW w:w="1418" w:type="dxa"/>
            <w:tcBorders>
              <w:top w:val="nil"/>
              <w:bottom w:val="nil"/>
            </w:tcBorders>
            <w:vAlign w:val="center"/>
          </w:tcPr>
          <w:p w14:paraId="49056968" w14:textId="77777777" w:rsidR="00C22A80" w:rsidRPr="00494431" w:rsidRDefault="00C22A80" w:rsidP="00C22A80">
            <w:pPr>
              <w:ind w:right="397"/>
              <w:jc w:val="right"/>
              <w:rPr>
                <w:rFonts w:asciiTheme="minorBidi" w:hAnsiTheme="minorBidi"/>
                <w:color w:val="000000"/>
                <w:sz w:val="24"/>
                <w:szCs w:val="24"/>
                <w:rtl/>
              </w:rPr>
            </w:pPr>
            <w:r>
              <w:rPr>
                <w:rFonts w:asciiTheme="minorBidi" w:hAnsiTheme="minorBidi"/>
                <w:color w:val="000000"/>
                <w:sz w:val="24"/>
                <w:szCs w:val="24"/>
              </w:rPr>
              <w:t>15</w:t>
            </w:r>
          </w:p>
        </w:tc>
        <w:tc>
          <w:tcPr>
            <w:tcW w:w="1134" w:type="dxa"/>
            <w:tcBorders>
              <w:top w:val="nil"/>
              <w:bottom w:val="nil"/>
            </w:tcBorders>
            <w:vAlign w:val="center"/>
          </w:tcPr>
          <w:p w14:paraId="6FA9A16E" w14:textId="77777777" w:rsidR="00C22A80" w:rsidRPr="00494431" w:rsidRDefault="00C22A80" w:rsidP="00C22A80">
            <w:pPr>
              <w:tabs>
                <w:tab w:val="right" w:pos="671"/>
              </w:tabs>
              <w:ind w:right="340"/>
              <w:jc w:val="right"/>
              <w:rPr>
                <w:rFonts w:asciiTheme="minorBidi" w:hAnsiTheme="minorBidi"/>
                <w:color w:val="000000"/>
                <w:sz w:val="24"/>
                <w:szCs w:val="24"/>
                <w:rtl/>
              </w:rPr>
            </w:pPr>
            <w:r>
              <w:rPr>
                <w:rFonts w:asciiTheme="minorBidi" w:hAnsiTheme="minorBidi"/>
                <w:color w:val="000000"/>
                <w:sz w:val="24"/>
                <w:szCs w:val="24"/>
              </w:rPr>
              <w:t>3</w:t>
            </w:r>
          </w:p>
        </w:tc>
        <w:tc>
          <w:tcPr>
            <w:tcW w:w="1558" w:type="dxa"/>
            <w:tcBorders>
              <w:top w:val="nil"/>
              <w:bottom w:val="nil"/>
            </w:tcBorders>
            <w:shd w:val="clear" w:color="auto" w:fill="auto"/>
            <w:vAlign w:val="center"/>
          </w:tcPr>
          <w:p w14:paraId="59A2F351" w14:textId="77777777" w:rsidR="00C22A80" w:rsidRPr="007A0477" w:rsidRDefault="00C22A80" w:rsidP="004D2E8C">
            <w:pPr>
              <w:ind w:right="462"/>
              <w:jc w:val="right"/>
              <w:rPr>
                <w:rFonts w:asciiTheme="minorBidi" w:hAnsiTheme="minorBidi"/>
                <w:sz w:val="24"/>
                <w:szCs w:val="24"/>
                <w:lang w:val="en-US"/>
              </w:rPr>
            </w:pPr>
            <w:r>
              <w:rPr>
                <w:rFonts w:asciiTheme="minorBidi" w:hAnsiTheme="minorBidi"/>
                <w:sz w:val="24"/>
                <w:szCs w:val="24"/>
              </w:rPr>
              <w:t>15</w:t>
            </w:r>
          </w:p>
        </w:tc>
      </w:tr>
      <w:tr w:rsidR="00F142A3" w:rsidRPr="00494431" w14:paraId="64209087" w14:textId="77777777" w:rsidTr="00C03E49">
        <w:trPr>
          <w:trHeight w:val="397"/>
          <w:jc w:val="center"/>
        </w:trPr>
        <w:tc>
          <w:tcPr>
            <w:tcW w:w="1135" w:type="dxa"/>
            <w:tcBorders>
              <w:top w:val="nil"/>
              <w:bottom w:val="nil"/>
            </w:tcBorders>
            <w:shd w:val="clear" w:color="auto" w:fill="auto"/>
            <w:vAlign w:val="center"/>
            <w:hideMark/>
          </w:tcPr>
          <w:p w14:paraId="27A2CD40" w14:textId="4AC59215" w:rsidR="00C22A80" w:rsidRPr="007D064C" w:rsidRDefault="00C22A80" w:rsidP="007D064C">
            <w:pPr>
              <w:ind w:right="284"/>
              <w:jc w:val="right"/>
              <w:rPr>
                <w:rFonts w:asciiTheme="minorBidi" w:hAnsiTheme="minorBidi"/>
                <w:b/>
                <w:color w:val="000000"/>
                <w:sz w:val="24"/>
              </w:rPr>
            </w:pPr>
            <w:r w:rsidRPr="004D2E8C">
              <w:rPr>
                <w:rFonts w:asciiTheme="minorBidi" w:hAnsiTheme="minorBidi"/>
                <w:b/>
                <w:bCs/>
                <w:color w:val="000000"/>
                <w:sz w:val="24"/>
                <w:szCs w:val="24"/>
                <w:rtl/>
              </w:rPr>
              <w:t>8</w:t>
            </w:r>
          </w:p>
        </w:tc>
        <w:tc>
          <w:tcPr>
            <w:tcW w:w="1559" w:type="dxa"/>
            <w:tcBorders>
              <w:top w:val="nil"/>
              <w:bottom w:val="nil"/>
            </w:tcBorders>
            <w:vAlign w:val="center"/>
          </w:tcPr>
          <w:p w14:paraId="2BA8E37F" w14:textId="77777777" w:rsidR="00C22A80" w:rsidRPr="000D025D" w:rsidRDefault="004D2E8C" w:rsidP="00C22A80">
            <w:pPr>
              <w:ind w:right="510"/>
              <w:jc w:val="right"/>
              <w:rPr>
                <w:rFonts w:asciiTheme="minorBidi" w:hAnsiTheme="minorBidi"/>
                <w:color w:val="000000"/>
                <w:sz w:val="24"/>
                <w:szCs w:val="24"/>
                <w:lang w:val="en-US"/>
              </w:rPr>
            </w:pPr>
            <w:r>
              <w:rPr>
                <w:rFonts w:asciiTheme="minorBidi" w:hAnsiTheme="minorBidi" w:hint="cs"/>
                <w:color w:val="000000"/>
                <w:sz w:val="24"/>
                <w:szCs w:val="24"/>
                <w:rtl/>
              </w:rPr>
              <w:t>14</w:t>
            </w:r>
          </w:p>
        </w:tc>
        <w:tc>
          <w:tcPr>
            <w:tcW w:w="1134" w:type="dxa"/>
            <w:tcBorders>
              <w:top w:val="nil"/>
              <w:bottom w:val="nil"/>
            </w:tcBorders>
            <w:vAlign w:val="center"/>
          </w:tcPr>
          <w:p w14:paraId="092C5169" w14:textId="77777777" w:rsidR="00C22A80" w:rsidRPr="00494431" w:rsidRDefault="00C22A80" w:rsidP="004D2E8C">
            <w:pPr>
              <w:tabs>
                <w:tab w:val="right" w:pos="597"/>
              </w:tabs>
              <w:ind w:right="227"/>
              <w:jc w:val="right"/>
              <w:rPr>
                <w:rFonts w:asciiTheme="minorBidi" w:hAnsiTheme="minorBidi"/>
                <w:color w:val="000000"/>
                <w:sz w:val="24"/>
                <w:szCs w:val="24"/>
              </w:rPr>
            </w:pPr>
            <w:r>
              <w:rPr>
                <w:rFonts w:asciiTheme="minorBidi" w:hAnsiTheme="minorBidi"/>
                <w:color w:val="000000"/>
                <w:sz w:val="24"/>
                <w:szCs w:val="24"/>
              </w:rPr>
              <w:t>0</w:t>
            </w:r>
          </w:p>
        </w:tc>
        <w:tc>
          <w:tcPr>
            <w:tcW w:w="1418" w:type="dxa"/>
            <w:tcBorders>
              <w:top w:val="nil"/>
              <w:bottom w:val="nil"/>
            </w:tcBorders>
            <w:vAlign w:val="center"/>
          </w:tcPr>
          <w:p w14:paraId="043BED8F" w14:textId="77777777" w:rsidR="00C22A80" w:rsidRPr="00494431" w:rsidRDefault="00C22A80" w:rsidP="00C22A80">
            <w:pPr>
              <w:ind w:right="397"/>
              <w:jc w:val="right"/>
              <w:rPr>
                <w:rFonts w:asciiTheme="minorBidi" w:hAnsiTheme="minorBidi"/>
                <w:color w:val="000000"/>
                <w:sz w:val="24"/>
                <w:szCs w:val="24"/>
              </w:rPr>
            </w:pPr>
            <w:r w:rsidRPr="00494431">
              <w:rPr>
                <w:rFonts w:asciiTheme="minorBidi" w:hAnsiTheme="minorBidi" w:hint="cs"/>
                <w:color w:val="000000"/>
                <w:sz w:val="24"/>
                <w:szCs w:val="24"/>
                <w:rtl/>
              </w:rPr>
              <w:t>1</w:t>
            </w:r>
            <w:r>
              <w:rPr>
                <w:rFonts w:asciiTheme="minorBidi" w:hAnsiTheme="minorBidi"/>
                <w:color w:val="000000"/>
                <w:sz w:val="24"/>
                <w:szCs w:val="24"/>
              </w:rPr>
              <w:t>3</w:t>
            </w:r>
          </w:p>
        </w:tc>
        <w:tc>
          <w:tcPr>
            <w:tcW w:w="1134" w:type="dxa"/>
            <w:tcBorders>
              <w:top w:val="nil"/>
              <w:bottom w:val="nil"/>
            </w:tcBorders>
            <w:vAlign w:val="center"/>
          </w:tcPr>
          <w:p w14:paraId="0A153436" w14:textId="77777777" w:rsidR="00C22A80" w:rsidRPr="007D064C" w:rsidRDefault="00C22A80" w:rsidP="007D064C">
            <w:pPr>
              <w:tabs>
                <w:tab w:val="right" w:pos="671"/>
              </w:tabs>
              <w:ind w:right="340"/>
              <w:jc w:val="right"/>
              <w:rPr>
                <w:rFonts w:asciiTheme="minorBidi" w:hAnsiTheme="minorBidi"/>
                <w:color w:val="000000"/>
                <w:sz w:val="24"/>
                <w:szCs w:val="24"/>
                <w:rtl/>
              </w:rPr>
            </w:pPr>
            <w:r w:rsidRPr="007D064C">
              <w:rPr>
                <w:rFonts w:asciiTheme="minorBidi" w:hAnsiTheme="minorBidi"/>
                <w:color w:val="000000"/>
                <w:sz w:val="24"/>
              </w:rPr>
              <w:t>1</w:t>
            </w:r>
          </w:p>
        </w:tc>
        <w:tc>
          <w:tcPr>
            <w:tcW w:w="1558" w:type="dxa"/>
            <w:tcBorders>
              <w:top w:val="nil"/>
              <w:bottom w:val="nil"/>
            </w:tcBorders>
            <w:shd w:val="clear" w:color="auto" w:fill="auto"/>
            <w:vAlign w:val="center"/>
          </w:tcPr>
          <w:p w14:paraId="6A80A400" w14:textId="77777777" w:rsidR="00C22A80" w:rsidRPr="0026394F" w:rsidRDefault="00C22A80" w:rsidP="004D2E8C">
            <w:pPr>
              <w:ind w:right="462"/>
              <w:jc w:val="right"/>
              <w:rPr>
                <w:rFonts w:asciiTheme="minorBidi" w:hAnsiTheme="minorBidi"/>
                <w:sz w:val="24"/>
                <w:szCs w:val="24"/>
                <w:rtl/>
              </w:rPr>
            </w:pPr>
            <w:r>
              <w:rPr>
                <w:rFonts w:asciiTheme="minorBidi" w:hAnsiTheme="minorBidi"/>
                <w:sz w:val="24"/>
                <w:szCs w:val="24"/>
              </w:rPr>
              <w:t>16</w:t>
            </w:r>
          </w:p>
        </w:tc>
      </w:tr>
      <w:tr w:rsidR="00C22A80" w:rsidRPr="00494431" w14:paraId="31A498A5" w14:textId="77777777" w:rsidTr="00C03E49">
        <w:trPr>
          <w:trHeight w:val="397"/>
          <w:jc w:val="center"/>
        </w:trPr>
        <w:tc>
          <w:tcPr>
            <w:tcW w:w="1135" w:type="dxa"/>
            <w:tcBorders>
              <w:top w:val="nil"/>
              <w:bottom w:val="nil"/>
            </w:tcBorders>
            <w:shd w:val="clear" w:color="auto" w:fill="auto"/>
            <w:vAlign w:val="center"/>
            <w:hideMark/>
          </w:tcPr>
          <w:p w14:paraId="505586E6" w14:textId="77777777" w:rsidR="00C22A80" w:rsidRPr="004D2E8C" w:rsidRDefault="00C22A80" w:rsidP="00C22A80">
            <w:pPr>
              <w:ind w:right="284"/>
              <w:jc w:val="right"/>
              <w:rPr>
                <w:rFonts w:asciiTheme="minorBidi" w:hAnsiTheme="minorBidi"/>
                <w:b/>
                <w:bCs/>
                <w:color w:val="000000"/>
                <w:sz w:val="24"/>
                <w:szCs w:val="24"/>
              </w:rPr>
            </w:pPr>
            <w:r w:rsidRPr="004D2E8C">
              <w:rPr>
                <w:rFonts w:asciiTheme="minorBidi" w:hAnsiTheme="minorBidi"/>
                <w:b/>
                <w:bCs/>
                <w:color w:val="000000"/>
                <w:sz w:val="24"/>
                <w:szCs w:val="24"/>
                <w:rtl/>
              </w:rPr>
              <w:t>9</w:t>
            </w:r>
          </w:p>
        </w:tc>
        <w:tc>
          <w:tcPr>
            <w:tcW w:w="1559" w:type="dxa"/>
            <w:tcBorders>
              <w:top w:val="nil"/>
              <w:bottom w:val="nil"/>
            </w:tcBorders>
            <w:vAlign w:val="center"/>
          </w:tcPr>
          <w:p w14:paraId="7C25090E" w14:textId="77777777" w:rsidR="00C22A80" w:rsidRPr="00494431" w:rsidRDefault="004D2E8C" w:rsidP="00C22A80">
            <w:pPr>
              <w:ind w:right="510"/>
              <w:jc w:val="right"/>
              <w:rPr>
                <w:rFonts w:asciiTheme="minorBidi" w:hAnsiTheme="minorBidi"/>
                <w:color w:val="000000"/>
                <w:sz w:val="24"/>
                <w:szCs w:val="24"/>
                <w:rtl/>
              </w:rPr>
            </w:pPr>
            <w:r>
              <w:rPr>
                <w:rFonts w:asciiTheme="minorBidi" w:hAnsiTheme="minorBidi" w:hint="cs"/>
                <w:color w:val="000000"/>
                <w:sz w:val="24"/>
                <w:szCs w:val="24"/>
                <w:rtl/>
              </w:rPr>
              <w:t>8</w:t>
            </w:r>
          </w:p>
        </w:tc>
        <w:tc>
          <w:tcPr>
            <w:tcW w:w="1134" w:type="dxa"/>
            <w:tcBorders>
              <w:top w:val="nil"/>
              <w:bottom w:val="nil"/>
            </w:tcBorders>
            <w:vAlign w:val="center"/>
          </w:tcPr>
          <w:p w14:paraId="33D966AE" w14:textId="77777777" w:rsidR="00C22A80" w:rsidRPr="00494431" w:rsidRDefault="00C22A80" w:rsidP="004D2E8C">
            <w:pPr>
              <w:tabs>
                <w:tab w:val="right" w:pos="597"/>
              </w:tabs>
              <w:ind w:right="227"/>
              <w:jc w:val="right"/>
              <w:rPr>
                <w:rFonts w:asciiTheme="minorBidi" w:hAnsiTheme="minorBidi"/>
                <w:color w:val="000000"/>
                <w:sz w:val="24"/>
                <w:szCs w:val="24"/>
                <w:rtl/>
              </w:rPr>
            </w:pPr>
            <w:r>
              <w:rPr>
                <w:rFonts w:asciiTheme="minorBidi" w:hAnsiTheme="minorBidi"/>
                <w:color w:val="000000"/>
                <w:sz w:val="24"/>
                <w:szCs w:val="24"/>
              </w:rPr>
              <w:t>0</w:t>
            </w:r>
          </w:p>
        </w:tc>
        <w:tc>
          <w:tcPr>
            <w:tcW w:w="1418" w:type="dxa"/>
            <w:tcBorders>
              <w:top w:val="nil"/>
              <w:bottom w:val="nil"/>
            </w:tcBorders>
            <w:vAlign w:val="center"/>
          </w:tcPr>
          <w:p w14:paraId="36450025" w14:textId="77777777" w:rsidR="00C22A80" w:rsidRPr="00494431" w:rsidRDefault="00C22A80" w:rsidP="00C22A80">
            <w:pPr>
              <w:ind w:right="397"/>
              <w:jc w:val="right"/>
              <w:rPr>
                <w:rFonts w:asciiTheme="minorBidi" w:hAnsiTheme="minorBidi"/>
                <w:color w:val="000000"/>
                <w:sz w:val="24"/>
                <w:szCs w:val="24"/>
                <w:rtl/>
              </w:rPr>
            </w:pPr>
            <w:r w:rsidRPr="00494431">
              <w:rPr>
                <w:rFonts w:asciiTheme="minorBidi" w:hAnsiTheme="minorBidi" w:hint="cs"/>
                <w:color w:val="000000"/>
                <w:sz w:val="24"/>
                <w:szCs w:val="24"/>
                <w:rtl/>
              </w:rPr>
              <w:t>1</w:t>
            </w:r>
            <w:r>
              <w:rPr>
                <w:rFonts w:asciiTheme="minorBidi" w:hAnsiTheme="minorBidi"/>
                <w:color w:val="000000"/>
                <w:sz w:val="24"/>
                <w:szCs w:val="24"/>
              </w:rPr>
              <w:t>8</w:t>
            </w:r>
          </w:p>
        </w:tc>
        <w:tc>
          <w:tcPr>
            <w:tcW w:w="1134" w:type="dxa"/>
            <w:tcBorders>
              <w:top w:val="nil"/>
              <w:bottom w:val="nil"/>
            </w:tcBorders>
            <w:vAlign w:val="center"/>
          </w:tcPr>
          <w:p w14:paraId="10236A9B" w14:textId="77777777" w:rsidR="00C22A80" w:rsidRPr="00494431" w:rsidRDefault="00C22A80" w:rsidP="00C22A80">
            <w:pPr>
              <w:tabs>
                <w:tab w:val="right" w:pos="671"/>
              </w:tabs>
              <w:ind w:right="340"/>
              <w:jc w:val="right"/>
              <w:rPr>
                <w:rFonts w:asciiTheme="minorBidi" w:hAnsiTheme="minorBidi"/>
                <w:color w:val="000000"/>
                <w:sz w:val="24"/>
                <w:szCs w:val="24"/>
                <w:rtl/>
              </w:rPr>
            </w:pPr>
            <w:r>
              <w:rPr>
                <w:rFonts w:asciiTheme="minorBidi" w:hAnsiTheme="minorBidi"/>
                <w:color w:val="000000"/>
                <w:sz w:val="24"/>
                <w:szCs w:val="24"/>
              </w:rPr>
              <w:t>0</w:t>
            </w:r>
          </w:p>
        </w:tc>
        <w:tc>
          <w:tcPr>
            <w:tcW w:w="1558" w:type="dxa"/>
            <w:tcBorders>
              <w:top w:val="nil"/>
              <w:bottom w:val="nil"/>
            </w:tcBorders>
            <w:shd w:val="clear" w:color="auto" w:fill="auto"/>
            <w:vAlign w:val="center"/>
          </w:tcPr>
          <w:p w14:paraId="39BD63A6" w14:textId="77777777" w:rsidR="00C22A80" w:rsidRPr="0026394F" w:rsidRDefault="00C22A80" w:rsidP="004D2E8C">
            <w:pPr>
              <w:ind w:right="462"/>
              <w:jc w:val="right"/>
              <w:rPr>
                <w:rFonts w:asciiTheme="minorBidi" w:hAnsiTheme="minorBidi"/>
                <w:sz w:val="24"/>
                <w:szCs w:val="24"/>
                <w:rtl/>
              </w:rPr>
            </w:pPr>
            <w:r>
              <w:rPr>
                <w:rFonts w:asciiTheme="minorBidi" w:hAnsiTheme="minorBidi"/>
                <w:sz w:val="24"/>
                <w:szCs w:val="24"/>
              </w:rPr>
              <w:t>9</w:t>
            </w:r>
          </w:p>
        </w:tc>
      </w:tr>
      <w:tr w:rsidR="00C22A80" w:rsidRPr="00494431" w14:paraId="4F29F8AE" w14:textId="77777777" w:rsidTr="00C03E49">
        <w:trPr>
          <w:trHeight w:val="397"/>
          <w:jc w:val="center"/>
        </w:trPr>
        <w:tc>
          <w:tcPr>
            <w:tcW w:w="1135" w:type="dxa"/>
            <w:tcBorders>
              <w:top w:val="nil"/>
              <w:bottom w:val="single" w:sz="8" w:space="0" w:color="auto"/>
            </w:tcBorders>
            <w:shd w:val="clear" w:color="auto" w:fill="auto"/>
            <w:vAlign w:val="center"/>
            <w:hideMark/>
          </w:tcPr>
          <w:p w14:paraId="1280B468" w14:textId="77777777" w:rsidR="00C22A80" w:rsidRPr="004D2E8C" w:rsidRDefault="00C22A80" w:rsidP="00C22A80">
            <w:pPr>
              <w:ind w:right="284"/>
              <w:jc w:val="right"/>
              <w:rPr>
                <w:rFonts w:asciiTheme="minorBidi" w:hAnsiTheme="minorBidi"/>
                <w:b/>
                <w:bCs/>
                <w:color w:val="000000"/>
                <w:sz w:val="24"/>
                <w:szCs w:val="24"/>
              </w:rPr>
            </w:pPr>
            <w:r w:rsidRPr="004D2E8C">
              <w:rPr>
                <w:rFonts w:asciiTheme="minorBidi" w:hAnsiTheme="minorBidi"/>
                <w:b/>
                <w:bCs/>
                <w:color w:val="000000"/>
                <w:sz w:val="24"/>
                <w:szCs w:val="24"/>
                <w:rtl/>
              </w:rPr>
              <w:t>10</w:t>
            </w:r>
          </w:p>
        </w:tc>
        <w:tc>
          <w:tcPr>
            <w:tcW w:w="1559" w:type="dxa"/>
            <w:tcBorders>
              <w:top w:val="nil"/>
              <w:bottom w:val="single" w:sz="8" w:space="0" w:color="auto"/>
            </w:tcBorders>
            <w:vAlign w:val="center"/>
          </w:tcPr>
          <w:p w14:paraId="6E95B1AD" w14:textId="77777777" w:rsidR="00C22A80" w:rsidRPr="00494431" w:rsidRDefault="004D2E8C" w:rsidP="00C22A80">
            <w:pPr>
              <w:ind w:right="510"/>
              <w:jc w:val="right"/>
              <w:rPr>
                <w:rFonts w:asciiTheme="minorBidi" w:hAnsiTheme="minorBidi"/>
                <w:color w:val="000000"/>
                <w:sz w:val="24"/>
                <w:szCs w:val="24"/>
                <w:rtl/>
              </w:rPr>
            </w:pPr>
            <w:r>
              <w:rPr>
                <w:rFonts w:asciiTheme="minorBidi" w:hAnsiTheme="minorBidi" w:hint="cs"/>
                <w:color w:val="000000"/>
                <w:sz w:val="24"/>
                <w:szCs w:val="24"/>
                <w:rtl/>
              </w:rPr>
              <w:t>5</w:t>
            </w:r>
          </w:p>
        </w:tc>
        <w:tc>
          <w:tcPr>
            <w:tcW w:w="1134" w:type="dxa"/>
            <w:tcBorders>
              <w:top w:val="nil"/>
              <w:bottom w:val="single" w:sz="8" w:space="0" w:color="auto"/>
            </w:tcBorders>
            <w:vAlign w:val="center"/>
          </w:tcPr>
          <w:p w14:paraId="7FCE2704" w14:textId="77777777" w:rsidR="00C22A80" w:rsidRPr="00494431" w:rsidRDefault="00C22A80" w:rsidP="004D2E8C">
            <w:pPr>
              <w:tabs>
                <w:tab w:val="right" w:pos="597"/>
              </w:tabs>
              <w:ind w:right="227"/>
              <w:jc w:val="right"/>
              <w:rPr>
                <w:rFonts w:asciiTheme="minorBidi" w:hAnsiTheme="minorBidi"/>
                <w:color w:val="000000"/>
                <w:sz w:val="24"/>
                <w:szCs w:val="24"/>
                <w:rtl/>
              </w:rPr>
            </w:pPr>
            <w:r w:rsidRPr="00494431">
              <w:rPr>
                <w:rFonts w:asciiTheme="minorBidi" w:hAnsiTheme="minorBidi"/>
                <w:color w:val="000000"/>
                <w:sz w:val="24"/>
                <w:szCs w:val="24"/>
                <w:rtl/>
              </w:rPr>
              <w:t>0</w:t>
            </w:r>
          </w:p>
        </w:tc>
        <w:tc>
          <w:tcPr>
            <w:tcW w:w="1418" w:type="dxa"/>
            <w:tcBorders>
              <w:top w:val="nil"/>
              <w:bottom w:val="single" w:sz="8" w:space="0" w:color="auto"/>
            </w:tcBorders>
            <w:vAlign w:val="center"/>
          </w:tcPr>
          <w:p w14:paraId="22BBB752" w14:textId="77777777" w:rsidR="00C22A80" w:rsidRPr="00494431" w:rsidRDefault="00C22A80" w:rsidP="00C22A80">
            <w:pPr>
              <w:ind w:right="397"/>
              <w:jc w:val="right"/>
              <w:rPr>
                <w:rFonts w:asciiTheme="minorBidi" w:hAnsiTheme="minorBidi"/>
                <w:color w:val="000000"/>
                <w:sz w:val="24"/>
                <w:szCs w:val="24"/>
                <w:rtl/>
              </w:rPr>
            </w:pPr>
            <w:r>
              <w:rPr>
                <w:rFonts w:asciiTheme="minorBidi" w:hAnsiTheme="minorBidi" w:hint="cs"/>
                <w:color w:val="000000"/>
                <w:sz w:val="24"/>
                <w:szCs w:val="24"/>
                <w:rtl/>
              </w:rPr>
              <w:t>5</w:t>
            </w:r>
          </w:p>
        </w:tc>
        <w:tc>
          <w:tcPr>
            <w:tcW w:w="1134" w:type="dxa"/>
            <w:tcBorders>
              <w:top w:val="nil"/>
              <w:bottom w:val="single" w:sz="8" w:space="0" w:color="auto"/>
            </w:tcBorders>
            <w:vAlign w:val="center"/>
          </w:tcPr>
          <w:p w14:paraId="167489CD" w14:textId="77777777" w:rsidR="00C22A80" w:rsidRPr="00494431" w:rsidRDefault="00C22A80" w:rsidP="00C22A80">
            <w:pPr>
              <w:tabs>
                <w:tab w:val="right" w:pos="671"/>
              </w:tabs>
              <w:ind w:right="340"/>
              <w:jc w:val="right"/>
              <w:rPr>
                <w:rFonts w:asciiTheme="minorBidi" w:hAnsiTheme="minorBidi"/>
                <w:color w:val="000000"/>
                <w:sz w:val="24"/>
                <w:szCs w:val="24"/>
              </w:rPr>
            </w:pPr>
            <w:r w:rsidRPr="00494431">
              <w:rPr>
                <w:rFonts w:asciiTheme="minorBidi" w:hAnsiTheme="minorBidi"/>
                <w:color w:val="000000"/>
                <w:sz w:val="24"/>
                <w:szCs w:val="24"/>
                <w:rtl/>
              </w:rPr>
              <w:t>0</w:t>
            </w:r>
          </w:p>
        </w:tc>
        <w:tc>
          <w:tcPr>
            <w:tcW w:w="1558" w:type="dxa"/>
            <w:tcBorders>
              <w:top w:val="nil"/>
            </w:tcBorders>
            <w:shd w:val="clear" w:color="auto" w:fill="auto"/>
            <w:vAlign w:val="center"/>
          </w:tcPr>
          <w:p w14:paraId="0FD73C1E" w14:textId="77777777" w:rsidR="00C22A80" w:rsidRPr="0026394F" w:rsidRDefault="00C22A80" w:rsidP="004D2E8C">
            <w:pPr>
              <w:ind w:right="462"/>
              <w:jc w:val="right"/>
              <w:rPr>
                <w:rFonts w:asciiTheme="minorBidi" w:hAnsiTheme="minorBidi"/>
                <w:sz w:val="24"/>
                <w:szCs w:val="24"/>
                <w:rtl/>
              </w:rPr>
            </w:pPr>
            <w:r w:rsidRPr="0026394F">
              <w:rPr>
                <w:rFonts w:asciiTheme="minorBidi" w:hAnsiTheme="minorBidi"/>
                <w:sz w:val="24"/>
                <w:szCs w:val="24"/>
                <w:rtl/>
              </w:rPr>
              <w:t>5</w:t>
            </w:r>
          </w:p>
        </w:tc>
      </w:tr>
      <w:tr w:rsidR="00494431" w:rsidRPr="00494431" w14:paraId="153A5521" w14:textId="77777777" w:rsidTr="00494431">
        <w:trPr>
          <w:trHeight w:val="526"/>
          <w:jc w:val="center"/>
        </w:trPr>
        <w:tc>
          <w:tcPr>
            <w:tcW w:w="1135" w:type="dxa"/>
            <w:tcBorders>
              <w:top w:val="single" w:sz="8" w:space="0" w:color="auto"/>
              <w:bottom w:val="double" w:sz="4" w:space="0" w:color="auto"/>
            </w:tcBorders>
            <w:shd w:val="clear" w:color="auto" w:fill="auto"/>
            <w:vAlign w:val="center"/>
          </w:tcPr>
          <w:p w14:paraId="18360461" w14:textId="77777777" w:rsidR="00494431" w:rsidRPr="00494431" w:rsidRDefault="00494431" w:rsidP="007A0477">
            <w:pPr>
              <w:ind w:right="284"/>
              <w:jc w:val="right"/>
              <w:rPr>
                <w:rFonts w:asciiTheme="minorBidi" w:hAnsiTheme="minorBidi"/>
                <w:b/>
                <w:bCs/>
                <w:color w:val="000000"/>
                <w:sz w:val="24"/>
                <w:szCs w:val="24"/>
                <w:rtl/>
              </w:rPr>
            </w:pPr>
            <w:r w:rsidRPr="00494431">
              <w:rPr>
                <w:rFonts w:asciiTheme="minorBidi" w:hAnsiTheme="minorBidi"/>
                <w:b/>
                <w:bCs/>
                <w:color w:val="000000"/>
                <w:sz w:val="24"/>
                <w:szCs w:val="24"/>
              </w:rPr>
              <w:t>Total</w:t>
            </w:r>
          </w:p>
        </w:tc>
        <w:tc>
          <w:tcPr>
            <w:tcW w:w="1559" w:type="dxa"/>
            <w:tcBorders>
              <w:top w:val="single" w:sz="8" w:space="0" w:color="auto"/>
              <w:bottom w:val="double" w:sz="4" w:space="0" w:color="auto"/>
            </w:tcBorders>
            <w:vAlign w:val="center"/>
          </w:tcPr>
          <w:p w14:paraId="6B52B68E" w14:textId="77777777" w:rsidR="00494431" w:rsidRPr="00494431" w:rsidRDefault="00494431" w:rsidP="007A0477">
            <w:pPr>
              <w:tabs>
                <w:tab w:val="right" w:pos="671"/>
              </w:tabs>
              <w:ind w:left="173" w:right="510"/>
              <w:jc w:val="right"/>
              <w:rPr>
                <w:rFonts w:asciiTheme="minorBidi" w:hAnsiTheme="minorBidi"/>
                <w:b/>
                <w:bCs/>
                <w:color w:val="000000"/>
                <w:sz w:val="24"/>
                <w:szCs w:val="24"/>
                <w:rtl/>
              </w:rPr>
            </w:pPr>
            <w:r w:rsidRPr="00494431">
              <w:rPr>
                <w:rFonts w:asciiTheme="minorBidi" w:hAnsiTheme="minorBidi"/>
                <w:b/>
                <w:bCs/>
                <w:color w:val="000000"/>
                <w:sz w:val="24"/>
                <w:szCs w:val="24"/>
              </w:rPr>
              <w:t>255</w:t>
            </w:r>
          </w:p>
        </w:tc>
        <w:tc>
          <w:tcPr>
            <w:tcW w:w="1134" w:type="dxa"/>
            <w:tcBorders>
              <w:top w:val="single" w:sz="8" w:space="0" w:color="auto"/>
              <w:bottom w:val="double" w:sz="4" w:space="0" w:color="auto"/>
            </w:tcBorders>
            <w:vAlign w:val="center"/>
          </w:tcPr>
          <w:p w14:paraId="5F326410" w14:textId="77777777" w:rsidR="00494431" w:rsidRPr="00494431" w:rsidRDefault="00C22A80" w:rsidP="004D2E8C">
            <w:pPr>
              <w:tabs>
                <w:tab w:val="right" w:pos="597"/>
              </w:tabs>
              <w:ind w:right="227"/>
              <w:jc w:val="right"/>
              <w:rPr>
                <w:rFonts w:asciiTheme="minorBidi" w:hAnsiTheme="minorBidi"/>
                <w:b/>
                <w:bCs/>
                <w:color w:val="000000"/>
                <w:sz w:val="24"/>
                <w:szCs w:val="24"/>
                <w:rtl/>
              </w:rPr>
            </w:pPr>
            <w:r>
              <w:rPr>
                <w:rFonts w:asciiTheme="minorBidi" w:hAnsiTheme="minorBidi"/>
                <w:b/>
                <w:bCs/>
                <w:color w:val="000000"/>
                <w:sz w:val="24"/>
                <w:szCs w:val="24"/>
              </w:rPr>
              <w:t>53</w:t>
            </w:r>
          </w:p>
        </w:tc>
        <w:tc>
          <w:tcPr>
            <w:tcW w:w="1418" w:type="dxa"/>
            <w:tcBorders>
              <w:top w:val="single" w:sz="8" w:space="0" w:color="auto"/>
              <w:bottom w:val="double" w:sz="4" w:space="0" w:color="auto"/>
            </w:tcBorders>
            <w:vAlign w:val="center"/>
          </w:tcPr>
          <w:p w14:paraId="2B35AB08" w14:textId="77777777" w:rsidR="00494431" w:rsidRPr="00494431" w:rsidRDefault="004D2E8C" w:rsidP="007A0477">
            <w:pPr>
              <w:ind w:right="397"/>
              <w:jc w:val="right"/>
              <w:rPr>
                <w:rFonts w:asciiTheme="minorBidi" w:hAnsiTheme="minorBidi"/>
                <w:b/>
                <w:bCs/>
                <w:color w:val="000000"/>
                <w:sz w:val="24"/>
                <w:szCs w:val="24"/>
                <w:rtl/>
              </w:rPr>
            </w:pPr>
            <w:r>
              <w:rPr>
                <w:rFonts w:asciiTheme="minorBidi" w:hAnsiTheme="minorBidi" w:hint="cs"/>
                <w:b/>
                <w:bCs/>
                <w:color w:val="000000"/>
                <w:sz w:val="24"/>
                <w:szCs w:val="24"/>
                <w:rtl/>
              </w:rPr>
              <w:t>183</w:t>
            </w:r>
          </w:p>
        </w:tc>
        <w:tc>
          <w:tcPr>
            <w:tcW w:w="1134" w:type="dxa"/>
            <w:tcBorders>
              <w:top w:val="single" w:sz="8" w:space="0" w:color="auto"/>
              <w:bottom w:val="double" w:sz="4" w:space="0" w:color="auto"/>
            </w:tcBorders>
            <w:vAlign w:val="center"/>
          </w:tcPr>
          <w:p w14:paraId="44EF16FD" w14:textId="77777777" w:rsidR="00494431" w:rsidRPr="00494431" w:rsidRDefault="00C22A80" w:rsidP="007A0477">
            <w:pPr>
              <w:tabs>
                <w:tab w:val="right" w:pos="671"/>
              </w:tabs>
              <w:ind w:right="340"/>
              <w:jc w:val="right"/>
              <w:rPr>
                <w:rFonts w:asciiTheme="minorBidi" w:hAnsiTheme="minorBidi"/>
                <w:b/>
                <w:bCs/>
                <w:color w:val="000000"/>
                <w:sz w:val="24"/>
                <w:szCs w:val="24"/>
                <w:rtl/>
              </w:rPr>
            </w:pPr>
            <w:r>
              <w:rPr>
                <w:rFonts w:asciiTheme="minorBidi" w:hAnsiTheme="minorBidi"/>
                <w:b/>
                <w:bCs/>
                <w:color w:val="000000"/>
                <w:sz w:val="24"/>
                <w:szCs w:val="24"/>
              </w:rPr>
              <w:t>19</w:t>
            </w:r>
          </w:p>
        </w:tc>
        <w:tc>
          <w:tcPr>
            <w:tcW w:w="1558" w:type="dxa"/>
            <w:tcBorders>
              <w:top w:val="single" w:sz="8" w:space="0" w:color="auto"/>
              <w:bottom w:val="double" w:sz="4" w:space="0" w:color="auto"/>
            </w:tcBorders>
            <w:vAlign w:val="center"/>
          </w:tcPr>
          <w:p w14:paraId="2351D3E2" w14:textId="77777777" w:rsidR="00494431" w:rsidRPr="00494431" w:rsidRDefault="00494431" w:rsidP="004D2E8C">
            <w:pPr>
              <w:ind w:right="462"/>
              <w:jc w:val="right"/>
              <w:rPr>
                <w:rFonts w:asciiTheme="minorBidi" w:hAnsiTheme="minorBidi"/>
                <w:b/>
                <w:bCs/>
                <w:color w:val="000000"/>
                <w:sz w:val="24"/>
                <w:szCs w:val="24"/>
                <w:rtl/>
              </w:rPr>
            </w:pPr>
            <w:r w:rsidRPr="00494431">
              <w:rPr>
                <w:rFonts w:asciiTheme="minorBidi" w:hAnsiTheme="minorBidi" w:hint="cs"/>
                <w:b/>
                <w:bCs/>
                <w:color w:val="000000"/>
                <w:sz w:val="24"/>
                <w:szCs w:val="24"/>
                <w:rtl/>
              </w:rPr>
              <w:t>255</w:t>
            </w:r>
          </w:p>
        </w:tc>
      </w:tr>
    </w:tbl>
    <w:p w14:paraId="79E08629" w14:textId="1C6B11DE" w:rsidR="00011086" w:rsidRDefault="00325353" w:rsidP="00011086">
      <w:pPr>
        <w:pStyle w:val="body"/>
        <w:pageBreakBefore/>
        <w:spacing w:before="120" w:after="120"/>
      </w:pPr>
      <w:r w:rsidRPr="00092B56">
        <w:lastRenderedPageBreak/>
        <w:t xml:space="preserve">Similar to the </w:t>
      </w:r>
      <w:r w:rsidR="00D31603" w:rsidRPr="00092B56">
        <w:t>calculation made</w:t>
      </w:r>
      <w:r w:rsidRPr="00092B56">
        <w:t xml:space="preserve"> for the </w:t>
      </w:r>
      <w:r w:rsidR="00D31603" w:rsidRPr="00092B56">
        <w:t>Peripherality Index 20</w:t>
      </w:r>
      <w:r w:rsidR="000D025D">
        <w:t>15</w:t>
      </w:r>
      <w:r w:rsidRPr="00092B56">
        <w:t xml:space="preserve">, one can group the 10 clusters into 5 levels of peripherality: very peripheral, peripheral, </w:t>
      </w:r>
      <w:r w:rsidR="00640D06" w:rsidRPr="00092B56">
        <w:t>intermediate</w:t>
      </w:r>
      <w:r w:rsidRPr="00092B56">
        <w:t>, central, and very central. The group</w:t>
      </w:r>
      <w:r w:rsidR="00640D06" w:rsidRPr="00092B56">
        <w:t>s were</w:t>
      </w:r>
      <w:r w:rsidRPr="00092B56">
        <w:t xml:space="preserve"> obtained using the same</w:t>
      </w:r>
      <w:r w:rsidRPr="009D5E35">
        <w:t xml:space="preserve"> method (hierarchical cluster analysis) </w:t>
      </w:r>
      <w:r w:rsidR="00B75F7A" w:rsidRPr="009D5E35">
        <w:t xml:space="preserve">so that the variance of the index values within </w:t>
      </w:r>
      <w:r w:rsidR="00B628E7">
        <w:t>the groups</w:t>
      </w:r>
      <w:r w:rsidR="00B75F7A" w:rsidRPr="009D5E35">
        <w:t xml:space="preserve"> is minim</w:t>
      </w:r>
      <w:r w:rsidR="007A0081">
        <w:t>iz</w:t>
      </w:r>
      <w:r w:rsidR="00886756">
        <w:t>ed</w:t>
      </w:r>
      <w:r w:rsidR="00B75F7A" w:rsidRPr="009D5E35">
        <w:t xml:space="preserve"> and the variance between </w:t>
      </w:r>
      <w:r w:rsidR="00B628E7">
        <w:t>groups</w:t>
      </w:r>
      <w:r w:rsidR="00B75F7A" w:rsidRPr="009D5E35">
        <w:t xml:space="preserve"> is maxim</w:t>
      </w:r>
      <w:r w:rsidR="007A0081">
        <w:t>iz</w:t>
      </w:r>
      <w:r w:rsidR="00886756">
        <w:t>ed</w:t>
      </w:r>
      <w:r w:rsidR="00B75F7A" w:rsidRPr="009D5E35">
        <w:t>.</w:t>
      </w:r>
    </w:p>
    <w:p w14:paraId="3587D56C" w14:textId="57E751A8" w:rsidR="00BF22DF" w:rsidRPr="009D5E35" w:rsidRDefault="00B75F7A" w:rsidP="007D064C">
      <w:pPr>
        <w:pStyle w:val="body"/>
        <w:spacing w:before="120"/>
      </w:pPr>
      <w:r w:rsidRPr="009D5E35">
        <w:rPr>
          <w:b/>
          <w:bCs/>
        </w:rPr>
        <w:t xml:space="preserve">Table D </w:t>
      </w:r>
      <w:r w:rsidRPr="009D5E35">
        <w:t>display</w:t>
      </w:r>
      <w:r w:rsidR="00B628E7">
        <w:t>s the results of the allocation</w:t>
      </w:r>
      <w:r w:rsidRPr="009D5E35">
        <w:t xml:space="preserve">. Note that the </w:t>
      </w:r>
      <w:r w:rsidR="00AB49C4">
        <w:t>grouping</w:t>
      </w:r>
      <w:r w:rsidRPr="009D5E35">
        <w:t xml:space="preserve"> of 10 clusters to 5 levels </w:t>
      </w:r>
      <w:r w:rsidR="00B628E7">
        <w:t xml:space="preserve">obtained </w:t>
      </w:r>
      <w:r w:rsidRPr="009D5E35">
        <w:t xml:space="preserve">according to the </w:t>
      </w:r>
      <w:r w:rsidR="00A94A6E">
        <w:t>Peripherality Index</w:t>
      </w:r>
      <w:r w:rsidRPr="009D5E35">
        <w:t xml:space="preserve"> </w:t>
      </w:r>
      <w:r w:rsidR="008466EB" w:rsidRPr="009D5E35">
        <w:t>20</w:t>
      </w:r>
      <w:r w:rsidR="000D025D">
        <w:t>20</w:t>
      </w:r>
      <w:r w:rsidR="008466EB" w:rsidRPr="009D5E35">
        <w:t xml:space="preserve"> </w:t>
      </w:r>
      <w:r w:rsidRPr="009D5E35">
        <w:t xml:space="preserve">is different </w:t>
      </w:r>
      <w:r w:rsidR="00B628E7">
        <w:t>from</w:t>
      </w:r>
      <w:r w:rsidRPr="009D5E35">
        <w:t xml:space="preserve"> the grouping obtained according to the </w:t>
      </w:r>
      <w:r w:rsidR="00A94A6E">
        <w:t>Peripherality Index</w:t>
      </w:r>
      <w:r w:rsidR="008466EB">
        <w:t xml:space="preserve"> </w:t>
      </w:r>
      <w:r w:rsidR="008466EB" w:rsidRPr="009D5E35">
        <w:t>20</w:t>
      </w:r>
      <w:r w:rsidR="000D025D">
        <w:t>15</w:t>
      </w:r>
      <w:r w:rsidRPr="009D5E35">
        <w:t>.</w:t>
      </w:r>
    </w:p>
    <w:p w14:paraId="371353E5" w14:textId="5BCBCFF4" w:rsidR="00B75F7A" w:rsidRPr="00092B56" w:rsidRDefault="00B75F7A" w:rsidP="00011086">
      <w:pPr>
        <w:pStyle w:val="body"/>
        <w:spacing w:before="240"/>
        <w:jc w:val="center"/>
        <w:rPr>
          <w:b/>
          <w:bCs/>
        </w:rPr>
      </w:pPr>
      <w:r w:rsidRPr="00D52BAC">
        <w:rPr>
          <w:b/>
          <w:bCs/>
        </w:rPr>
        <w:t>Table D</w:t>
      </w:r>
      <w:r w:rsidR="00092B56" w:rsidRPr="00D52BAC">
        <w:rPr>
          <w:b/>
          <w:bCs/>
        </w:rPr>
        <w:t>.</w:t>
      </w:r>
      <w:r w:rsidRPr="00D52BAC">
        <w:rPr>
          <w:b/>
          <w:bCs/>
        </w:rPr>
        <w:t xml:space="preserve"> Distribution of </w:t>
      </w:r>
      <w:r w:rsidR="00B628E7" w:rsidRPr="00D52BAC">
        <w:rPr>
          <w:b/>
          <w:bCs/>
        </w:rPr>
        <w:t>Population</w:t>
      </w:r>
      <w:r w:rsidRPr="00D52BAC">
        <w:rPr>
          <w:b/>
          <w:bCs/>
        </w:rPr>
        <w:t xml:space="preserve"> of Local Authorities by Level of Peripherality, 20</w:t>
      </w:r>
      <w:r w:rsidR="00E33D1A" w:rsidRPr="00D52BAC">
        <w:rPr>
          <w:b/>
          <w:bCs/>
        </w:rPr>
        <w:t>20</w:t>
      </w:r>
      <w:r w:rsidRPr="00D52BAC">
        <w:rPr>
          <w:b/>
          <w:bCs/>
        </w:rPr>
        <w:t xml:space="preserve"> Compared to 20</w:t>
      </w:r>
      <w:r w:rsidR="00E33D1A" w:rsidRPr="00D52BAC">
        <w:rPr>
          <w:b/>
          <w:bCs/>
        </w:rPr>
        <w:t>15</w:t>
      </w:r>
    </w:p>
    <w:tbl>
      <w:tblPr>
        <w:tblStyle w:val="ac"/>
        <w:tblW w:w="0" w:type="auto"/>
        <w:jc w:val="center"/>
        <w:tblLook w:val="04A0" w:firstRow="1" w:lastRow="0" w:firstColumn="1" w:lastColumn="0" w:noHBand="0" w:noVBand="1"/>
        <w:tblCaption w:val="Table D - Distribution of Population of Local Authorities by Level of Peripherality, 2020 Compared to 2015"/>
        <w:tblDescription w:val="Distribution of Population of Local Authorities by Level of Peripherality, 2020 Compared to 2015"/>
      </w:tblPr>
      <w:tblGrid>
        <w:gridCol w:w="1749"/>
        <w:gridCol w:w="1550"/>
        <w:gridCol w:w="1551"/>
        <w:gridCol w:w="1550"/>
        <w:gridCol w:w="1639"/>
      </w:tblGrid>
      <w:tr w:rsidR="00B75F7A" w:rsidRPr="00F2509F" w14:paraId="3090F44D" w14:textId="77777777" w:rsidTr="007D064C">
        <w:trPr>
          <w:trHeight w:val="1239"/>
          <w:tblHeader/>
          <w:jc w:val="center"/>
        </w:trPr>
        <w:tc>
          <w:tcPr>
            <w:tcW w:w="1749" w:type="dxa"/>
            <w:tcBorders>
              <w:top w:val="double" w:sz="4" w:space="0" w:color="auto"/>
              <w:left w:val="nil"/>
              <w:bottom w:val="double" w:sz="4" w:space="0" w:color="auto"/>
            </w:tcBorders>
            <w:vAlign w:val="center"/>
          </w:tcPr>
          <w:p w14:paraId="7B8652DA" w14:textId="34F59E3B" w:rsidR="00B75F7A" w:rsidRPr="00F2509F" w:rsidRDefault="00B75F7A"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 xml:space="preserve">Percentage of Population </w:t>
            </w:r>
            <w:r w:rsidR="00F2509F" w:rsidRPr="00F2509F">
              <w:rPr>
                <w:rFonts w:asciiTheme="minorBidi" w:hAnsiTheme="minorBidi" w:cstheme="minorBidi"/>
                <w:sz w:val="24"/>
                <w:szCs w:val="24"/>
                <w:lang w:val="en-GB"/>
              </w:rPr>
              <w:t>20</w:t>
            </w:r>
            <w:r w:rsidR="009D242B">
              <w:rPr>
                <w:rFonts w:asciiTheme="minorBidi" w:hAnsiTheme="minorBidi" w:cstheme="minorBidi"/>
                <w:sz w:val="24"/>
                <w:szCs w:val="24"/>
                <w:lang w:val="en-GB"/>
              </w:rPr>
              <w:t>15</w:t>
            </w:r>
          </w:p>
        </w:tc>
        <w:tc>
          <w:tcPr>
            <w:tcW w:w="1550" w:type="dxa"/>
            <w:tcBorders>
              <w:top w:val="double" w:sz="4" w:space="0" w:color="auto"/>
              <w:bottom w:val="double" w:sz="4" w:space="0" w:color="auto"/>
            </w:tcBorders>
            <w:vAlign w:val="center"/>
          </w:tcPr>
          <w:p w14:paraId="6B256D27" w14:textId="4DC40810" w:rsidR="00B75F7A" w:rsidRPr="00F2509F" w:rsidRDefault="00B75F7A"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 xml:space="preserve">Peripherality Cluster </w:t>
            </w:r>
            <w:r w:rsidR="00F2509F" w:rsidRPr="00F2509F">
              <w:rPr>
                <w:rFonts w:asciiTheme="minorBidi" w:hAnsiTheme="minorBidi" w:cstheme="minorBidi"/>
                <w:sz w:val="24"/>
                <w:szCs w:val="24"/>
                <w:lang w:val="en-GB"/>
              </w:rPr>
              <w:t>20</w:t>
            </w:r>
            <w:r w:rsidR="009D242B">
              <w:rPr>
                <w:rFonts w:asciiTheme="minorBidi" w:hAnsiTheme="minorBidi" w:cstheme="minorBidi"/>
                <w:sz w:val="24"/>
                <w:szCs w:val="24"/>
                <w:lang w:val="en-GB"/>
              </w:rPr>
              <w:t>15</w:t>
            </w:r>
          </w:p>
        </w:tc>
        <w:tc>
          <w:tcPr>
            <w:tcW w:w="1551" w:type="dxa"/>
            <w:tcBorders>
              <w:top w:val="double" w:sz="4" w:space="0" w:color="auto"/>
              <w:bottom w:val="double" w:sz="4" w:space="0" w:color="auto"/>
            </w:tcBorders>
            <w:shd w:val="clear" w:color="auto" w:fill="D9D9D9" w:themeFill="background1" w:themeFillShade="D9"/>
            <w:vAlign w:val="center"/>
          </w:tcPr>
          <w:p w14:paraId="15D96A08" w14:textId="77777777" w:rsidR="00B75F7A" w:rsidRPr="00F2509F" w:rsidRDefault="00B75F7A" w:rsidP="00DE386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Level of Peripherality</w:t>
            </w:r>
          </w:p>
        </w:tc>
        <w:tc>
          <w:tcPr>
            <w:tcW w:w="1550" w:type="dxa"/>
            <w:tcBorders>
              <w:top w:val="double" w:sz="4" w:space="0" w:color="auto"/>
              <w:bottom w:val="double" w:sz="4" w:space="0" w:color="auto"/>
            </w:tcBorders>
            <w:vAlign w:val="center"/>
          </w:tcPr>
          <w:p w14:paraId="50C567EF" w14:textId="7476245A" w:rsidR="00B75F7A" w:rsidRPr="00F2509F" w:rsidRDefault="00B75F7A"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Peripherality Cluster 20</w:t>
            </w:r>
            <w:r w:rsidR="009D242B">
              <w:rPr>
                <w:rFonts w:asciiTheme="minorBidi" w:hAnsiTheme="minorBidi" w:cstheme="minorBidi"/>
                <w:sz w:val="24"/>
                <w:szCs w:val="24"/>
                <w:lang w:val="en-GB"/>
              </w:rPr>
              <w:t>20</w:t>
            </w:r>
          </w:p>
        </w:tc>
        <w:tc>
          <w:tcPr>
            <w:tcW w:w="1639" w:type="dxa"/>
            <w:tcBorders>
              <w:top w:val="double" w:sz="4" w:space="0" w:color="auto"/>
              <w:bottom w:val="double" w:sz="4" w:space="0" w:color="auto"/>
              <w:right w:val="nil"/>
            </w:tcBorders>
            <w:vAlign w:val="center"/>
          </w:tcPr>
          <w:p w14:paraId="345B607A" w14:textId="4F197E71" w:rsidR="00B75F7A" w:rsidRPr="00F2509F" w:rsidRDefault="00B75F7A" w:rsidP="00F3496A">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Percentage of Population</w:t>
            </w:r>
            <w:r w:rsidR="00F3496A">
              <w:rPr>
                <w:rFonts w:asciiTheme="minorBidi" w:hAnsiTheme="minorBidi" w:cstheme="minorBidi"/>
                <w:sz w:val="24"/>
                <w:szCs w:val="24"/>
                <w:lang w:val="en-GB"/>
              </w:rPr>
              <w:br/>
            </w:r>
            <w:r w:rsidRPr="00F2509F">
              <w:rPr>
                <w:rFonts w:asciiTheme="minorBidi" w:hAnsiTheme="minorBidi" w:cstheme="minorBidi"/>
                <w:sz w:val="24"/>
                <w:szCs w:val="24"/>
                <w:lang w:val="en-GB"/>
              </w:rPr>
              <w:t>20</w:t>
            </w:r>
            <w:r w:rsidR="009D242B">
              <w:rPr>
                <w:rFonts w:asciiTheme="minorBidi" w:hAnsiTheme="minorBidi" w:cstheme="minorBidi"/>
                <w:sz w:val="24"/>
                <w:szCs w:val="24"/>
                <w:lang w:val="en-GB"/>
              </w:rPr>
              <w:t>20</w:t>
            </w:r>
          </w:p>
        </w:tc>
      </w:tr>
      <w:tr w:rsidR="009D242B" w:rsidRPr="00F2509F" w14:paraId="150BB1AE" w14:textId="77777777" w:rsidTr="007D064C">
        <w:trPr>
          <w:trHeight w:val="794"/>
          <w:jc w:val="center"/>
        </w:trPr>
        <w:tc>
          <w:tcPr>
            <w:tcW w:w="1749" w:type="dxa"/>
            <w:tcBorders>
              <w:top w:val="double" w:sz="4" w:space="0" w:color="auto"/>
              <w:left w:val="nil"/>
              <w:right w:val="nil"/>
            </w:tcBorders>
            <w:vAlign w:val="center"/>
          </w:tcPr>
          <w:p w14:paraId="43F8E87E" w14:textId="539B4BC4" w:rsidR="009D242B" w:rsidRPr="00F2509F" w:rsidRDefault="009D242B" w:rsidP="009D242B">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2.0</w:t>
            </w:r>
          </w:p>
        </w:tc>
        <w:tc>
          <w:tcPr>
            <w:tcW w:w="1550" w:type="dxa"/>
            <w:tcBorders>
              <w:top w:val="double" w:sz="4" w:space="0" w:color="auto"/>
            </w:tcBorders>
            <w:vAlign w:val="center"/>
          </w:tcPr>
          <w:p w14:paraId="3EFBFE4B" w14:textId="07B670B4"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1, 2</w:t>
            </w:r>
          </w:p>
        </w:tc>
        <w:tc>
          <w:tcPr>
            <w:tcW w:w="1551" w:type="dxa"/>
            <w:tcBorders>
              <w:top w:val="double" w:sz="4" w:space="0" w:color="auto"/>
            </w:tcBorders>
            <w:shd w:val="clear" w:color="auto" w:fill="D9D9D9" w:themeFill="background1" w:themeFillShade="D9"/>
            <w:vAlign w:val="center"/>
          </w:tcPr>
          <w:p w14:paraId="645758E3" w14:textId="77777777"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Very peripheral</w:t>
            </w:r>
          </w:p>
        </w:tc>
        <w:tc>
          <w:tcPr>
            <w:tcW w:w="1550" w:type="dxa"/>
            <w:tcBorders>
              <w:top w:val="double" w:sz="4" w:space="0" w:color="auto"/>
            </w:tcBorders>
            <w:vAlign w:val="center"/>
          </w:tcPr>
          <w:p w14:paraId="05F9EDE9" w14:textId="77777777"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1, 2</w:t>
            </w:r>
            <w:r w:rsidR="00F91A1E">
              <w:rPr>
                <w:rFonts w:asciiTheme="minorBidi" w:hAnsiTheme="minorBidi" w:cstheme="minorBidi"/>
                <w:sz w:val="24"/>
                <w:szCs w:val="24"/>
                <w:lang w:val="en-GB"/>
              </w:rPr>
              <w:t>, 3</w:t>
            </w:r>
          </w:p>
        </w:tc>
        <w:tc>
          <w:tcPr>
            <w:tcW w:w="1639" w:type="dxa"/>
            <w:tcBorders>
              <w:top w:val="double" w:sz="4" w:space="0" w:color="auto"/>
              <w:right w:val="nil"/>
            </w:tcBorders>
            <w:vAlign w:val="center"/>
          </w:tcPr>
          <w:p w14:paraId="6028B745" w14:textId="7D0E5C57" w:rsidR="009D242B" w:rsidRPr="00F2509F" w:rsidRDefault="00F91A1E" w:rsidP="009D242B">
            <w:pPr>
              <w:bidi w:val="0"/>
              <w:ind w:right="284"/>
              <w:jc w:val="right"/>
              <w:rPr>
                <w:rFonts w:asciiTheme="minorBidi" w:hAnsiTheme="minorBidi" w:cstheme="minorBidi"/>
                <w:sz w:val="24"/>
                <w:szCs w:val="24"/>
                <w:lang w:val="en-GB"/>
              </w:rPr>
            </w:pPr>
            <w:r>
              <w:rPr>
                <w:rFonts w:asciiTheme="minorBidi" w:hAnsiTheme="minorBidi" w:cstheme="minorBidi"/>
                <w:sz w:val="24"/>
                <w:szCs w:val="24"/>
                <w:lang w:val="en-GB"/>
              </w:rPr>
              <w:t>11.6</w:t>
            </w:r>
          </w:p>
        </w:tc>
      </w:tr>
      <w:tr w:rsidR="009D242B" w:rsidRPr="00F2509F" w14:paraId="5F4B07F6" w14:textId="77777777" w:rsidTr="007D064C">
        <w:trPr>
          <w:trHeight w:val="794"/>
          <w:jc w:val="center"/>
        </w:trPr>
        <w:tc>
          <w:tcPr>
            <w:tcW w:w="1749" w:type="dxa"/>
            <w:tcBorders>
              <w:left w:val="nil"/>
              <w:bottom w:val="single" w:sz="4" w:space="0" w:color="auto"/>
              <w:right w:val="nil"/>
            </w:tcBorders>
            <w:vAlign w:val="center"/>
          </w:tcPr>
          <w:p w14:paraId="7CAC0AFE" w14:textId="6D86467D" w:rsidR="009D242B" w:rsidRPr="00F2509F" w:rsidRDefault="009D242B" w:rsidP="009D242B">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17.2</w:t>
            </w:r>
          </w:p>
        </w:tc>
        <w:tc>
          <w:tcPr>
            <w:tcW w:w="1550" w:type="dxa"/>
            <w:tcBorders>
              <w:bottom w:val="single" w:sz="4" w:space="0" w:color="auto"/>
            </w:tcBorders>
            <w:vAlign w:val="center"/>
          </w:tcPr>
          <w:p w14:paraId="6F2EA79C" w14:textId="77777777"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3, 4</w:t>
            </w:r>
          </w:p>
        </w:tc>
        <w:tc>
          <w:tcPr>
            <w:tcW w:w="1551" w:type="dxa"/>
            <w:tcBorders>
              <w:bottom w:val="single" w:sz="4" w:space="0" w:color="auto"/>
            </w:tcBorders>
            <w:shd w:val="clear" w:color="auto" w:fill="D9D9D9" w:themeFill="background1" w:themeFillShade="D9"/>
            <w:vAlign w:val="center"/>
          </w:tcPr>
          <w:p w14:paraId="6BE0F6E4" w14:textId="77777777"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Peripheral</w:t>
            </w:r>
          </w:p>
        </w:tc>
        <w:tc>
          <w:tcPr>
            <w:tcW w:w="1550" w:type="dxa"/>
            <w:tcBorders>
              <w:bottom w:val="single" w:sz="4" w:space="0" w:color="auto"/>
            </w:tcBorders>
            <w:vAlign w:val="center"/>
          </w:tcPr>
          <w:p w14:paraId="306C8656" w14:textId="534B0B31" w:rsidR="009D242B" w:rsidRPr="00F2509F" w:rsidRDefault="00F91A1E" w:rsidP="009D242B">
            <w:pPr>
              <w:bidi w:val="0"/>
              <w:jc w:val="center"/>
              <w:rPr>
                <w:rFonts w:asciiTheme="minorBidi" w:hAnsiTheme="minorBidi" w:cstheme="minorBidi"/>
                <w:sz w:val="24"/>
                <w:szCs w:val="24"/>
                <w:lang w:val="en-GB"/>
              </w:rPr>
            </w:pPr>
            <w:r>
              <w:rPr>
                <w:rFonts w:asciiTheme="minorBidi" w:hAnsiTheme="minorBidi" w:cstheme="minorBidi"/>
                <w:sz w:val="24"/>
                <w:szCs w:val="24"/>
                <w:lang w:val="en-GB"/>
              </w:rPr>
              <w:t>4, 5</w:t>
            </w:r>
          </w:p>
        </w:tc>
        <w:tc>
          <w:tcPr>
            <w:tcW w:w="1639" w:type="dxa"/>
            <w:tcBorders>
              <w:bottom w:val="single" w:sz="4" w:space="0" w:color="auto"/>
              <w:right w:val="nil"/>
            </w:tcBorders>
            <w:vAlign w:val="center"/>
          </w:tcPr>
          <w:p w14:paraId="4E6A4E4F" w14:textId="00F9324B" w:rsidR="009D242B" w:rsidRPr="00F2509F" w:rsidRDefault="00F91A1E" w:rsidP="009D242B">
            <w:pPr>
              <w:bidi w:val="0"/>
              <w:ind w:right="284"/>
              <w:jc w:val="right"/>
              <w:rPr>
                <w:rFonts w:asciiTheme="minorBidi" w:hAnsiTheme="minorBidi" w:cstheme="minorBidi"/>
                <w:sz w:val="24"/>
                <w:szCs w:val="24"/>
                <w:lang w:val="en-GB"/>
              </w:rPr>
            </w:pPr>
            <w:r>
              <w:rPr>
                <w:rFonts w:asciiTheme="minorBidi" w:hAnsiTheme="minorBidi" w:cstheme="minorBidi"/>
                <w:sz w:val="24"/>
                <w:szCs w:val="24"/>
                <w:lang w:val="en-GB"/>
              </w:rPr>
              <w:t>22.5</w:t>
            </w:r>
          </w:p>
        </w:tc>
      </w:tr>
      <w:tr w:rsidR="009D242B" w:rsidRPr="00F2509F" w14:paraId="6FB30EA7" w14:textId="77777777" w:rsidTr="007D064C">
        <w:trPr>
          <w:trHeight w:val="794"/>
          <w:jc w:val="center"/>
        </w:trPr>
        <w:tc>
          <w:tcPr>
            <w:tcW w:w="1749" w:type="dxa"/>
            <w:tcBorders>
              <w:left w:val="nil"/>
              <w:bottom w:val="single" w:sz="4" w:space="0" w:color="auto"/>
              <w:right w:val="nil"/>
            </w:tcBorders>
            <w:vAlign w:val="center"/>
          </w:tcPr>
          <w:p w14:paraId="5C7D4B59" w14:textId="5FED1F04" w:rsidR="009D242B" w:rsidRPr="00F2509F" w:rsidRDefault="009D242B" w:rsidP="009D242B">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lang w:val="en-GB"/>
              </w:rPr>
              <w:t>21.2</w:t>
            </w:r>
          </w:p>
        </w:tc>
        <w:tc>
          <w:tcPr>
            <w:tcW w:w="1550" w:type="dxa"/>
            <w:tcBorders>
              <w:bottom w:val="single" w:sz="4" w:space="0" w:color="auto"/>
            </w:tcBorders>
            <w:vAlign w:val="center"/>
          </w:tcPr>
          <w:p w14:paraId="4DC06D26" w14:textId="26CBBACA"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5</w:t>
            </w:r>
          </w:p>
        </w:tc>
        <w:tc>
          <w:tcPr>
            <w:tcW w:w="1551" w:type="dxa"/>
            <w:tcBorders>
              <w:bottom w:val="single" w:sz="4" w:space="0" w:color="auto"/>
            </w:tcBorders>
            <w:shd w:val="clear" w:color="auto" w:fill="D9D9D9" w:themeFill="background1" w:themeFillShade="D9"/>
            <w:vAlign w:val="center"/>
          </w:tcPr>
          <w:p w14:paraId="6A282025" w14:textId="77777777" w:rsidR="009D242B" w:rsidRPr="00F2509F" w:rsidRDefault="009D242B" w:rsidP="009D242B">
            <w:pPr>
              <w:bidi w:val="0"/>
              <w:jc w:val="center"/>
              <w:rPr>
                <w:rFonts w:asciiTheme="minorBidi" w:hAnsiTheme="minorBidi" w:cstheme="minorBidi"/>
                <w:sz w:val="24"/>
                <w:szCs w:val="24"/>
                <w:rtl/>
                <w:lang w:val="en-GB"/>
              </w:rPr>
            </w:pPr>
            <w:r w:rsidRPr="00F2509F">
              <w:rPr>
                <w:rFonts w:asciiTheme="minorBidi" w:hAnsiTheme="minorBidi" w:cstheme="minorBidi"/>
                <w:sz w:val="24"/>
                <w:szCs w:val="24"/>
                <w:lang w:val="en-GB"/>
              </w:rPr>
              <w:t>Intermediate</w:t>
            </w:r>
          </w:p>
        </w:tc>
        <w:tc>
          <w:tcPr>
            <w:tcW w:w="1550" w:type="dxa"/>
            <w:tcBorders>
              <w:bottom w:val="single" w:sz="4" w:space="0" w:color="auto"/>
            </w:tcBorders>
            <w:vAlign w:val="center"/>
          </w:tcPr>
          <w:p w14:paraId="20662760" w14:textId="70C9A528" w:rsidR="009D242B" w:rsidRPr="00F2509F" w:rsidRDefault="00F91A1E" w:rsidP="009D242B">
            <w:pPr>
              <w:bidi w:val="0"/>
              <w:jc w:val="center"/>
              <w:rPr>
                <w:rFonts w:asciiTheme="minorBidi" w:hAnsiTheme="minorBidi" w:cstheme="minorBidi"/>
                <w:sz w:val="24"/>
                <w:szCs w:val="24"/>
                <w:lang w:val="en-GB"/>
              </w:rPr>
            </w:pPr>
            <w:r>
              <w:rPr>
                <w:rFonts w:asciiTheme="minorBidi" w:hAnsiTheme="minorBidi" w:cstheme="minorBidi"/>
                <w:sz w:val="24"/>
                <w:szCs w:val="24"/>
                <w:lang w:val="en-GB"/>
              </w:rPr>
              <w:t>6</w:t>
            </w:r>
          </w:p>
        </w:tc>
        <w:tc>
          <w:tcPr>
            <w:tcW w:w="1639" w:type="dxa"/>
            <w:tcBorders>
              <w:bottom w:val="single" w:sz="4" w:space="0" w:color="auto"/>
              <w:right w:val="nil"/>
            </w:tcBorders>
            <w:vAlign w:val="center"/>
          </w:tcPr>
          <w:p w14:paraId="0A0151FD" w14:textId="02D1DE34" w:rsidR="009D242B" w:rsidRPr="00F2509F" w:rsidRDefault="00F91A1E" w:rsidP="009D242B">
            <w:pPr>
              <w:bidi w:val="0"/>
              <w:ind w:right="284"/>
              <w:jc w:val="right"/>
              <w:rPr>
                <w:rFonts w:asciiTheme="minorBidi" w:hAnsiTheme="minorBidi" w:cstheme="minorBidi"/>
                <w:sz w:val="24"/>
                <w:szCs w:val="24"/>
                <w:lang w:val="en-GB"/>
              </w:rPr>
            </w:pPr>
            <w:r>
              <w:rPr>
                <w:rFonts w:asciiTheme="minorBidi" w:hAnsiTheme="minorBidi" w:cstheme="minorBidi"/>
                <w:sz w:val="24"/>
                <w:szCs w:val="24"/>
                <w:lang w:val="en-GB"/>
              </w:rPr>
              <w:t>17.8</w:t>
            </w:r>
          </w:p>
        </w:tc>
      </w:tr>
      <w:tr w:rsidR="009D242B" w:rsidRPr="00F2509F" w14:paraId="20FAEFDF" w14:textId="77777777" w:rsidTr="007D064C">
        <w:trPr>
          <w:trHeight w:val="794"/>
          <w:jc w:val="center"/>
        </w:trPr>
        <w:tc>
          <w:tcPr>
            <w:tcW w:w="1749" w:type="dxa"/>
            <w:tcBorders>
              <w:top w:val="single" w:sz="4" w:space="0" w:color="auto"/>
              <w:left w:val="nil"/>
              <w:bottom w:val="single" w:sz="4" w:space="0" w:color="auto"/>
              <w:right w:val="nil"/>
            </w:tcBorders>
            <w:vAlign w:val="center"/>
          </w:tcPr>
          <w:p w14:paraId="43462244" w14:textId="47BEBF83" w:rsidR="009D242B" w:rsidRPr="00F2509F" w:rsidRDefault="009D242B" w:rsidP="009D242B">
            <w:pPr>
              <w:widowControl/>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rtl/>
                <w:lang w:val="en-GB"/>
              </w:rPr>
              <w:t>20.4</w:t>
            </w:r>
          </w:p>
        </w:tc>
        <w:tc>
          <w:tcPr>
            <w:tcW w:w="1550" w:type="dxa"/>
            <w:tcBorders>
              <w:top w:val="single" w:sz="4" w:space="0" w:color="auto"/>
              <w:bottom w:val="single" w:sz="4" w:space="0" w:color="auto"/>
            </w:tcBorders>
            <w:vAlign w:val="center"/>
          </w:tcPr>
          <w:p w14:paraId="749D5F72" w14:textId="77777777" w:rsidR="009D242B" w:rsidRPr="00F2509F" w:rsidRDefault="009D242B" w:rsidP="007D064C">
            <w:pPr>
              <w:widowControl/>
              <w:bidi w:val="0"/>
              <w:jc w:val="center"/>
              <w:rPr>
                <w:rFonts w:asciiTheme="minorBidi" w:hAnsiTheme="minorBidi" w:cstheme="minorBidi"/>
                <w:sz w:val="24"/>
                <w:szCs w:val="24"/>
                <w:rtl/>
                <w:lang w:val="en-GB"/>
              </w:rPr>
            </w:pPr>
            <w:r w:rsidRPr="00F2509F">
              <w:rPr>
                <w:rFonts w:asciiTheme="minorBidi" w:hAnsiTheme="minorBidi" w:cstheme="minorBidi"/>
                <w:sz w:val="24"/>
                <w:szCs w:val="24"/>
                <w:lang w:val="en-GB"/>
              </w:rPr>
              <w:t>6, 7</w:t>
            </w:r>
          </w:p>
        </w:tc>
        <w:tc>
          <w:tcPr>
            <w:tcW w:w="1551" w:type="dxa"/>
            <w:tcBorders>
              <w:top w:val="single" w:sz="4" w:space="0" w:color="auto"/>
              <w:bottom w:val="single" w:sz="4" w:space="0" w:color="auto"/>
            </w:tcBorders>
            <w:shd w:val="clear" w:color="auto" w:fill="D9D9D9" w:themeFill="background1" w:themeFillShade="D9"/>
            <w:vAlign w:val="center"/>
          </w:tcPr>
          <w:p w14:paraId="546382F6" w14:textId="77777777"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Central</w:t>
            </w:r>
          </w:p>
        </w:tc>
        <w:tc>
          <w:tcPr>
            <w:tcW w:w="1550" w:type="dxa"/>
            <w:tcBorders>
              <w:top w:val="single" w:sz="4" w:space="0" w:color="auto"/>
              <w:bottom w:val="single" w:sz="4" w:space="0" w:color="auto"/>
            </w:tcBorders>
            <w:vAlign w:val="center"/>
          </w:tcPr>
          <w:p w14:paraId="08A3FC99" w14:textId="7BC5EDC9" w:rsidR="009D242B" w:rsidRPr="00F2509F" w:rsidRDefault="00F91A1E" w:rsidP="009D242B">
            <w:pPr>
              <w:widowControl/>
              <w:bidi w:val="0"/>
              <w:jc w:val="center"/>
              <w:rPr>
                <w:rFonts w:asciiTheme="minorBidi" w:hAnsiTheme="minorBidi" w:cstheme="minorBidi"/>
                <w:sz w:val="24"/>
                <w:szCs w:val="24"/>
                <w:rtl/>
                <w:lang w:val="en-GB"/>
              </w:rPr>
            </w:pPr>
            <w:r>
              <w:rPr>
                <w:rFonts w:asciiTheme="minorBidi" w:hAnsiTheme="minorBidi" w:cstheme="minorBidi"/>
                <w:sz w:val="24"/>
                <w:szCs w:val="24"/>
                <w:lang w:val="en-GB"/>
              </w:rPr>
              <w:t>7, 8</w:t>
            </w:r>
          </w:p>
        </w:tc>
        <w:tc>
          <w:tcPr>
            <w:tcW w:w="1639" w:type="dxa"/>
            <w:tcBorders>
              <w:top w:val="single" w:sz="4" w:space="0" w:color="auto"/>
              <w:bottom w:val="single" w:sz="4" w:space="0" w:color="auto"/>
              <w:right w:val="nil"/>
            </w:tcBorders>
            <w:vAlign w:val="center"/>
          </w:tcPr>
          <w:p w14:paraId="161E3C45" w14:textId="7340391E" w:rsidR="009D242B" w:rsidRPr="00F2509F" w:rsidRDefault="00F91A1E" w:rsidP="009D242B">
            <w:pPr>
              <w:widowControl/>
              <w:bidi w:val="0"/>
              <w:ind w:right="284"/>
              <w:jc w:val="right"/>
              <w:rPr>
                <w:rFonts w:asciiTheme="minorBidi" w:hAnsiTheme="minorBidi" w:cstheme="minorBidi"/>
                <w:sz w:val="24"/>
                <w:szCs w:val="24"/>
                <w:lang w:val="en-GB"/>
              </w:rPr>
            </w:pPr>
            <w:r>
              <w:rPr>
                <w:rFonts w:asciiTheme="minorBidi" w:hAnsiTheme="minorBidi" w:cstheme="minorBidi"/>
                <w:sz w:val="24"/>
                <w:szCs w:val="24"/>
                <w:lang w:val="en-GB"/>
              </w:rPr>
              <w:t>17.9</w:t>
            </w:r>
          </w:p>
        </w:tc>
      </w:tr>
      <w:tr w:rsidR="009D242B" w:rsidRPr="00F2509F" w14:paraId="6E3FA006" w14:textId="77777777" w:rsidTr="007D064C">
        <w:trPr>
          <w:trHeight w:val="794"/>
          <w:jc w:val="center"/>
        </w:trPr>
        <w:tc>
          <w:tcPr>
            <w:tcW w:w="1749" w:type="dxa"/>
            <w:tcBorders>
              <w:top w:val="single" w:sz="4" w:space="0" w:color="auto"/>
              <w:left w:val="nil"/>
              <w:bottom w:val="double" w:sz="4" w:space="0" w:color="auto"/>
              <w:right w:val="nil"/>
            </w:tcBorders>
            <w:vAlign w:val="center"/>
          </w:tcPr>
          <w:p w14:paraId="55D0F874" w14:textId="0E001896" w:rsidR="009D242B" w:rsidRPr="00F2509F" w:rsidRDefault="009D242B" w:rsidP="009D242B">
            <w:pPr>
              <w:bidi w:val="0"/>
              <w:ind w:right="284"/>
              <w:jc w:val="right"/>
              <w:rPr>
                <w:rFonts w:asciiTheme="minorBidi" w:hAnsiTheme="minorBidi" w:cstheme="minorBidi"/>
                <w:sz w:val="24"/>
                <w:szCs w:val="24"/>
                <w:lang w:val="en-GB"/>
              </w:rPr>
            </w:pPr>
            <w:r w:rsidRPr="00F2509F">
              <w:rPr>
                <w:rFonts w:asciiTheme="minorBidi" w:hAnsiTheme="minorBidi" w:cstheme="minorBidi"/>
                <w:sz w:val="24"/>
                <w:szCs w:val="24"/>
                <w:rtl/>
                <w:lang w:val="en-GB"/>
              </w:rPr>
              <w:t>39.3</w:t>
            </w:r>
          </w:p>
        </w:tc>
        <w:tc>
          <w:tcPr>
            <w:tcW w:w="1550" w:type="dxa"/>
            <w:tcBorders>
              <w:top w:val="single" w:sz="4" w:space="0" w:color="auto"/>
              <w:bottom w:val="double" w:sz="4" w:space="0" w:color="auto"/>
            </w:tcBorders>
            <w:vAlign w:val="center"/>
          </w:tcPr>
          <w:p w14:paraId="4CD86E0E" w14:textId="77777777"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8, 9, 10</w:t>
            </w:r>
          </w:p>
        </w:tc>
        <w:tc>
          <w:tcPr>
            <w:tcW w:w="1551" w:type="dxa"/>
            <w:tcBorders>
              <w:top w:val="single" w:sz="4" w:space="0" w:color="auto"/>
              <w:bottom w:val="double" w:sz="4" w:space="0" w:color="auto"/>
            </w:tcBorders>
            <w:shd w:val="clear" w:color="auto" w:fill="D9D9D9" w:themeFill="background1" w:themeFillShade="D9"/>
            <w:vAlign w:val="center"/>
          </w:tcPr>
          <w:p w14:paraId="2602E8DA" w14:textId="77777777"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Very central</w:t>
            </w:r>
          </w:p>
        </w:tc>
        <w:tc>
          <w:tcPr>
            <w:tcW w:w="1550" w:type="dxa"/>
            <w:tcBorders>
              <w:top w:val="single" w:sz="4" w:space="0" w:color="auto"/>
              <w:bottom w:val="double" w:sz="4" w:space="0" w:color="auto"/>
            </w:tcBorders>
            <w:vAlign w:val="center"/>
          </w:tcPr>
          <w:p w14:paraId="58ABBDE6" w14:textId="34BBDA6E" w:rsidR="009D242B" w:rsidRPr="00F2509F" w:rsidRDefault="009D242B" w:rsidP="009D242B">
            <w:pPr>
              <w:bidi w:val="0"/>
              <w:jc w:val="center"/>
              <w:rPr>
                <w:rFonts w:asciiTheme="minorBidi" w:hAnsiTheme="minorBidi" w:cstheme="minorBidi"/>
                <w:sz w:val="24"/>
                <w:szCs w:val="24"/>
                <w:lang w:val="en-GB"/>
              </w:rPr>
            </w:pPr>
            <w:r w:rsidRPr="00F2509F">
              <w:rPr>
                <w:rFonts w:asciiTheme="minorBidi" w:hAnsiTheme="minorBidi" w:cstheme="minorBidi"/>
                <w:sz w:val="24"/>
                <w:szCs w:val="24"/>
                <w:lang w:val="en-GB"/>
              </w:rPr>
              <w:t>9, 10</w:t>
            </w:r>
          </w:p>
        </w:tc>
        <w:tc>
          <w:tcPr>
            <w:tcW w:w="1639" w:type="dxa"/>
            <w:tcBorders>
              <w:top w:val="single" w:sz="4" w:space="0" w:color="auto"/>
              <w:bottom w:val="double" w:sz="4" w:space="0" w:color="auto"/>
              <w:right w:val="nil"/>
            </w:tcBorders>
            <w:vAlign w:val="center"/>
          </w:tcPr>
          <w:p w14:paraId="4FA0FE11" w14:textId="25B780AF" w:rsidR="009D242B" w:rsidRPr="007D064C" w:rsidRDefault="00F91A1E" w:rsidP="00F91A1E">
            <w:pPr>
              <w:bidi w:val="0"/>
              <w:ind w:right="284"/>
              <w:jc w:val="right"/>
              <w:rPr>
                <w:rFonts w:asciiTheme="minorBidi" w:hAnsiTheme="minorBidi"/>
                <w:sz w:val="24"/>
              </w:rPr>
            </w:pPr>
            <w:r>
              <w:rPr>
                <w:rFonts w:asciiTheme="minorBidi" w:hAnsiTheme="minorBidi" w:cstheme="minorBidi"/>
                <w:sz w:val="24"/>
                <w:szCs w:val="24"/>
                <w:lang w:val="en-GB"/>
              </w:rPr>
              <w:t>30.3</w:t>
            </w:r>
          </w:p>
        </w:tc>
      </w:tr>
    </w:tbl>
    <w:p w14:paraId="19EAFBD2" w14:textId="77777777" w:rsidR="00B9097F" w:rsidRPr="009D5E35" w:rsidRDefault="00B9097F" w:rsidP="0087442E">
      <w:pPr>
        <w:pStyle w:val="1"/>
        <w:pageBreakBefore/>
        <w:spacing w:before="0"/>
      </w:pPr>
      <w:bookmarkStart w:id="78" w:name="_Toc127808141"/>
      <w:bookmarkStart w:id="79" w:name="_Toc371438"/>
      <w:bookmarkStart w:id="80" w:name="_Toc149219684"/>
      <w:r w:rsidRPr="009D5E35">
        <w:lastRenderedPageBreak/>
        <w:t xml:space="preserve">Description of </w:t>
      </w:r>
      <w:r w:rsidR="00FD2997">
        <w:t xml:space="preserve">Attached </w:t>
      </w:r>
      <w:r w:rsidRPr="009D5E35">
        <w:t>Tables</w:t>
      </w:r>
      <w:r w:rsidR="00FD2997">
        <w:t xml:space="preserve">, Diagrams and Maps, </w:t>
      </w:r>
      <w:r w:rsidRPr="009D5E35">
        <w:t xml:space="preserve">and </w:t>
      </w:r>
      <w:r w:rsidR="00FE2B30">
        <w:t>Summary</w:t>
      </w:r>
      <w:bookmarkEnd w:id="78"/>
      <w:bookmarkEnd w:id="79"/>
      <w:bookmarkEnd w:id="80"/>
    </w:p>
    <w:p w14:paraId="66CB61A8" w14:textId="77777777" w:rsidR="00B9097F" w:rsidRPr="009D5E35" w:rsidRDefault="00B9097F" w:rsidP="00230FB8">
      <w:pPr>
        <w:pStyle w:val="2"/>
        <w:numPr>
          <w:ilvl w:val="0"/>
          <w:numId w:val="22"/>
        </w:numPr>
      </w:pPr>
      <w:bookmarkStart w:id="81" w:name="_Toc127808142"/>
      <w:bookmarkStart w:id="82" w:name="_Toc371439"/>
      <w:bookmarkStart w:id="83" w:name="_Toc149219685"/>
      <w:r w:rsidRPr="009D5E35">
        <w:t>Description of Attached Tables, Diagrams, and Maps</w:t>
      </w:r>
      <w:bookmarkEnd w:id="81"/>
      <w:bookmarkEnd w:id="82"/>
      <w:bookmarkEnd w:id="83"/>
    </w:p>
    <w:p w14:paraId="236E56FB" w14:textId="037B0229" w:rsidR="00B75F7A" w:rsidRPr="00435049" w:rsidRDefault="00DE386B" w:rsidP="000D025D">
      <w:pPr>
        <w:pStyle w:val="body"/>
      </w:pPr>
      <w:r w:rsidRPr="009D5E35">
        <w:rPr>
          <w:b/>
          <w:bCs/>
        </w:rPr>
        <w:t>Table 1</w:t>
      </w:r>
      <w:r w:rsidRPr="009D5E35">
        <w:t xml:space="preserve"> displays </w:t>
      </w:r>
      <w:r w:rsidR="00C56C2B" w:rsidRPr="009D5E35">
        <w:t xml:space="preserve">the local authorities in ascending order of </w:t>
      </w:r>
      <w:r w:rsidR="008466EB">
        <w:t>Peripherality Index 20</w:t>
      </w:r>
      <w:r w:rsidR="000D025D">
        <w:t>20</w:t>
      </w:r>
      <w:r w:rsidR="00B628E7">
        <w:t>, with rank</w:t>
      </w:r>
      <w:r w:rsidR="00C56C2B" w:rsidRPr="009D5E35">
        <w:t>s (from 1 for the most peripheral local council to 255 for the most central one) and allocation to clusters (from 1 to 10). Also displayed are the value</w:t>
      </w:r>
      <w:r w:rsidR="001B511B" w:rsidRPr="009D5E35">
        <w:t>s</w:t>
      </w:r>
      <w:r w:rsidR="00B628E7">
        <w:t xml:space="preserve"> and rank</w:t>
      </w:r>
      <w:r w:rsidR="001B511B" w:rsidRPr="009D5E35">
        <w:t>s</w:t>
      </w:r>
      <w:r w:rsidR="00C56C2B" w:rsidRPr="009D5E35">
        <w:t xml:space="preserve"> according to</w:t>
      </w:r>
      <w:r w:rsidR="00C90C14" w:rsidRPr="009D5E35">
        <w:t xml:space="preserve"> the</w:t>
      </w:r>
      <w:r w:rsidR="00C56C2B" w:rsidRPr="009D5E35">
        <w:t xml:space="preserve"> </w:t>
      </w:r>
      <w:r w:rsidR="00C56C2B" w:rsidRPr="00435049">
        <w:t xml:space="preserve">potential accessibility index and </w:t>
      </w:r>
      <w:r w:rsidR="00FE2B30">
        <w:t xml:space="preserve">to </w:t>
      </w:r>
      <w:r w:rsidR="00C56C2B" w:rsidRPr="00435049">
        <w:t xml:space="preserve">the proximity to the </w:t>
      </w:r>
      <w:r w:rsidR="00B628E7" w:rsidRPr="00435049">
        <w:t xml:space="preserve">boundary of the </w:t>
      </w:r>
      <w:r w:rsidR="00C56C2B" w:rsidRPr="00435049">
        <w:t>Tel Aviv</w:t>
      </w:r>
      <w:r w:rsidR="00B628E7" w:rsidRPr="00435049">
        <w:t xml:space="preserve"> district</w:t>
      </w:r>
      <w:r w:rsidR="00C56C2B" w:rsidRPr="00435049">
        <w:t>.</w:t>
      </w:r>
    </w:p>
    <w:p w14:paraId="5B0B92B4" w14:textId="210E87E2" w:rsidR="00C90C14" w:rsidRPr="00435049" w:rsidRDefault="00435049" w:rsidP="00DE2A44">
      <w:pPr>
        <w:pStyle w:val="body"/>
      </w:pPr>
      <w:r w:rsidRPr="00435049">
        <w:t xml:space="preserve">The </w:t>
      </w:r>
      <w:r w:rsidR="00FE2B30">
        <w:t xml:space="preserve">value of the </w:t>
      </w:r>
      <w:r w:rsidRPr="00435049">
        <w:t xml:space="preserve">Peripherality Index, and the value of each of its two components for </w:t>
      </w:r>
      <w:r w:rsidR="00FE2B30">
        <w:t xml:space="preserve">a </w:t>
      </w:r>
      <w:r w:rsidRPr="00435049">
        <w:t>municipalit</w:t>
      </w:r>
      <w:r w:rsidR="00FE2B30">
        <w:t>y</w:t>
      </w:r>
      <w:r w:rsidRPr="00435049">
        <w:t xml:space="preserve"> or </w:t>
      </w:r>
      <w:r w:rsidR="00FE2B30">
        <w:t xml:space="preserve">a </w:t>
      </w:r>
      <w:r w:rsidRPr="00435049">
        <w:t>local cou</w:t>
      </w:r>
      <w:r w:rsidR="00FE2B30">
        <w:t>ncil</w:t>
      </w:r>
      <w:r w:rsidRPr="00435049">
        <w:t xml:space="preserve"> are the locality characteristics displayed in Table 2. The value of the Peripherality Index and the values of each of its components for a regional council were calculated as the average of the values of the localities in the regional council, weight</w:t>
      </w:r>
      <w:r w:rsidR="00FE2B30">
        <w:t>ed by their population size</w:t>
      </w:r>
      <w:r w:rsidRPr="00435049">
        <w:t>.</w:t>
      </w:r>
    </w:p>
    <w:p w14:paraId="6607F415" w14:textId="2EFCA40E" w:rsidR="007C1007" w:rsidRPr="009D5E35" w:rsidRDefault="007C1007" w:rsidP="00856BDE">
      <w:pPr>
        <w:pStyle w:val="body"/>
      </w:pPr>
      <w:r w:rsidRPr="009D5E35">
        <w:t xml:space="preserve">The 11 most central </w:t>
      </w:r>
      <w:r w:rsidR="00FE2B30" w:rsidRPr="009D5E35">
        <w:t xml:space="preserve">local authorities </w:t>
      </w:r>
      <w:r w:rsidRPr="009D5E35">
        <w:t xml:space="preserve">are: </w:t>
      </w:r>
      <w:proofErr w:type="spellStart"/>
      <w:r w:rsidRPr="009D5E35">
        <w:t>Giv’atayim</w:t>
      </w:r>
      <w:proofErr w:type="spellEnd"/>
      <w:r w:rsidRPr="009D5E35">
        <w:t xml:space="preserve">, Tel Aviv-Yafo, Ramat Gan, Bene </w:t>
      </w:r>
      <w:proofErr w:type="spellStart"/>
      <w:r w:rsidRPr="009D5E35">
        <w:t>Beraq</w:t>
      </w:r>
      <w:proofErr w:type="spellEnd"/>
      <w:r w:rsidRPr="009D5E35">
        <w:t xml:space="preserve">, </w:t>
      </w:r>
      <w:proofErr w:type="spellStart"/>
      <w:r w:rsidR="00B628E7">
        <w:t>Giva</w:t>
      </w:r>
      <w:r w:rsidR="00F92604" w:rsidRPr="009D5E35">
        <w:t>t</w:t>
      </w:r>
      <w:proofErr w:type="spellEnd"/>
      <w:r w:rsidR="00FD6645" w:rsidRPr="009D5E35">
        <w:t xml:space="preserve"> </w:t>
      </w:r>
      <w:proofErr w:type="spellStart"/>
      <w:r w:rsidR="00FD6645" w:rsidRPr="009D5E35">
        <w:t>Shemu’el</w:t>
      </w:r>
      <w:proofErr w:type="spellEnd"/>
      <w:r w:rsidR="00FD6645" w:rsidRPr="009D5E35">
        <w:t xml:space="preserve">, Jerusalem, </w:t>
      </w:r>
      <w:proofErr w:type="spellStart"/>
      <w:r w:rsidR="00FD6645" w:rsidRPr="009D5E35">
        <w:t>Qiryat</w:t>
      </w:r>
      <w:proofErr w:type="spellEnd"/>
      <w:r w:rsidR="00FD6645" w:rsidRPr="009D5E35">
        <w:t xml:space="preserve"> Ono,</w:t>
      </w:r>
      <w:r w:rsidR="000D025D" w:rsidRPr="000D025D">
        <w:t xml:space="preserve"> </w:t>
      </w:r>
      <w:r w:rsidR="000D025D">
        <w:t>Petah Tiqwa,</w:t>
      </w:r>
      <w:r w:rsidR="00FD6645" w:rsidRPr="009D5E35">
        <w:t xml:space="preserve"> Holon</w:t>
      </w:r>
      <w:r w:rsidR="000D025D">
        <w:t xml:space="preserve">, </w:t>
      </w:r>
      <w:proofErr w:type="spellStart"/>
      <w:r w:rsidR="000D025D">
        <w:t>Ganei</w:t>
      </w:r>
      <w:proofErr w:type="spellEnd"/>
      <w:r w:rsidR="000D025D">
        <w:t xml:space="preserve"> Tiqwa and Rishon </w:t>
      </w:r>
      <w:proofErr w:type="spellStart"/>
      <w:r w:rsidR="000D025D">
        <w:t>LeZiyyon</w:t>
      </w:r>
      <w:proofErr w:type="spellEnd"/>
      <w:r w:rsidR="000D025D">
        <w:t>.</w:t>
      </w:r>
      <w:r w:rsidR="00FD6645" w:rsidRPr="009D5E35">
        <w:t xml:space="preserve"> The 11 most peripheral</w:t>
      </w:r>
      <w:r w:rsidR="00B97D64" w:rsidRPr="00B97D64">
        <w:t xml:space="preserve"> </w:t>
      </w:r>
      <w:r w:rsidR="00B97D64" w:rsidRPr="009D5E35">
        <w:t>local authorities</w:t>
      </w:r>
      <w:r w:rsidR="00FD6645" w:rsidRPr="009D5E35">
        <w:t xml:space="preserve"> are: </w:t>
      </w:r>
      <w:proofErr w:type="spellStart"/>
      <w:r w:rsidR="00FD6645" w:rsidRPr="009D5E35">
        <w:t>Elat</w:t>
      </w:r>
      <w:proofErr w:type="spellEnd"/>
      <w:r w:rsidR="00FD6645" w:rsidRPr="009D5E35">
        <w:t xml:space="preserve">, regional council </w:t>
      </w:r>
      <w:proofErr w:type="spellStart"/>
      <w:r w:rsidR="00FD6645" w:rsidRPr="009D5E35">
        <w:t>Hevel</w:t>
      </w:r>
      <w:proofErr w:type="spellEnd"/>
      <w:r w:rsidR="00FD6645" w:rsidRPr="009D5E35">
        <w:t xml:space="preserve"> </w:t>
      </w:r>
      <w:proofErr w:type="spellStart"/>
      <w:r w:rsidR="00FD6645" w:rsidRPr="009D5E35">
        <w:t>Elot</w:t>
      </w:r>
      <w:proofErr w:type="spellEnd"/>
      <w:r w:rsidR="00FD6645" w:rsidRPr="009D5E35">
        <w:t xml:space="preserve">, regional council </w:t>
      </w:r>
      <w:proofErr w:type="spellStart"/>
      <w:r w:rsidR="00FD6645" w:rsidRPr="009D5E35">
        <w:t>HaArava</w:t>
      </w:r>
      <w:proofErr w:type="spellEnd"/>
      <w:r w:rsidR="00FD6645" w:rsidRPr="009D5E35">
        <w:t xml:space="preserve"> </w:t>
      </w:r>
      <w:proofErr w:type="spellStart"/>
      <w:r w:rsidR="00FD6645" w:rsidRPr="009D5E35">
        <w:t>HaTikhona</w:t>
      </w:r>
      <w:proofErr w:type="spellEnd"/>
      <w:r w:rsidR="00FD6645" w:rsidRPr="009D5E35">
        <w:t xml:space="preserve">, Ein </w:t>
      </w:r>
      <w:proofErr w:type="spellStart"/>
      <w:r w:rsidR="00FD6645" w:rsidRPr="009D5E35">
        <w:t>Qinyye</w:t>
      </w:r>
      <w:proofErr w:type="spellEnd"/>
      <w:r w:rsidR="00FD6645" w:rsidRPr="009D5E35">
        <w:t xml:space="preserve">, </w:t>
      </w:r>
      <w:proofErr w:type="spellStart"/>
      <w:r w:rsidR="00FD6645" w:rsidRPr="009D5E35">
        <w:t>Majdal</w:t>
      </w:r>
      <w:proofErr w:type="spellEnd"/>
      <w:r w:rsidR="00FD6645" w:rsidRPr="009D5E35">
        <w:t xml:space="preserve"> Shams,</w:t>
      </w:r>
      <w:r w:rsidR="000D025D" w:rsidRPr="000D025D">
        <w:t xml:space="preserve"> </w:t>
      </w:r>
      <w:proofErr w:type="spellStart"/>
      <w:r w:rsidR="000D025D" w:rsidRPr="009D5E35">
        <w:t>Mizpe</w:t>
      </w:r>
      <w:proofErr w:type="spellEnd"/>
      <w:r w:rsidR="000D025D" w:rsidRPr="009D5E35">
        <w:t xml:space="preserve"> Ramon,</w:t>
      </w:r>
      <w:r w:rsidR="00FD6645" w:rsidRPr="009D5E35">
        <w:t xml:space="preserve"> </w:t>
      </w:r>
      <w:proofErr w:type="spellStart"/>
      <w:r w:rsidR="00FD6645" w:rsidRPr="009D5E35">
        <w:t>G</w:t>
      </w:r>
      <w:r w:rsidR="00856BDE">
        <w:t>hajar</w:t>
      </w:r>
      <w:proofErr w:type="spellEnd"/>
      <w:r w:rsidR="00856BDE">
        <w:t xml:space="preserve">, </w:t>
      </w:r>
      <w:proofErr w:type="spellStart"/>
      <w:r w:rsidR="00856BDE">
        <w:t>Buq’ata</w:t>
      </w:r>
      <w:proofErr w:type="spellEnd"/>
      <w:r w:rsidR="00856BDE">
        <w:t xml:space="preserve">, </w:t>
      </w:r>
      <w:proofErr w:type="spellStart"/>
      <w:r w:rsidR="00856BDE">
        <w:t>Mas’ade</w:t>
      </w:r>
      <w:proofErr w:type="spellEnd"/>
      <w:r w:rsidR="00856BDE">
        <w:t xml:space="preserve">, </w:t>
      </w:r>
      <w:proofErr w:type="spellStart"/>
      <w:r w:rsidR="00856BDE">
        <w:t>Metula</w:t>
      </w:r>
      <w:proofErr w:type="spellEnd"/>
      <w:r w:rsidR="00FD6645" w:rsidRPr="009D5E35">
        <w:t xml:space="preserve"> and</w:t>
      </w:r>
      <w:r w:rsidR="00856BDE">
        <w:t xml:space="preserve"> </w:t>
      </w:r>
      <w:proofErr w:type="spellStart"/>
      <w:r w:rsidR="00856BDE">
        <w:t>Qiryat</w:t>
      </w:r>
      <w:proofErr w:type="spellEnd"/>
      <w:r w:rsidR="00856BDE">
        <w:t xml:space="preserve"> </w:t>
      </w:r>
      <w:proofErr w:type="spellStart"/>
      <w:r w:rsidR="00856BDE">
        <w:t>Shemona</w:t>
      </w:r>
      <w:proofErr w:type="spellEnd"/>
      <w:r w:rsidR="00FD6645" w:rsidRPr="009D5E35">
        <w:t>.</w:t>
      </w:r>
    </w:p>
    <w:p w14:paraId="5A2BAAA9" w14:textId="14EE4E7A" w:rsidR="00FD6645" w:rsidRPr="009D5E35" w:rsidRDefault="00FD6645" w:rsidP="0098423D">
      <w:pPr>
        <w:pStyle w:val="body"/>
      </w:pPr>
      <w:r w:rsidRPr="009D5E35">
        <w:t xml:space="preserve">The large cities numbering more than 200,000 residents are found in the middle to high clusters: Tel Aviv-Yafo </w:t>
      </w:r>
      <w:r w:rsidR="0098423D">
        <w:t xml:space="preserve">and Bene </w:t>
      </w:r>
      <w:proofErr w:type="spellStart"/>
      <w:r w:rsidR="0098423D">
        <w:t>Beraq</w:t>
      </w:r>
      <w:proofErr w:type="spellEnd"/>
      <w:r w:rsidR="0098423D">
        <w:t xml:space="preserve"> are</w:t>
      </w:r>
      <w:r w:rsidRPr="009D5E35">
        <w:t xml:space="preserve"> in Cluster 10; Jerusalem, Rishon </w:t>
      </w:r>
      <w:proofErr w:type="spellStart"/>
      <w:r w:rsidRPr="009D5E35">
        <w:t>Leziyyon</w:t>
      </w:r>
      <w:proofErr w:type="spellEnd"/>
      <w:r w:rsidRPr="009D5E35">
        <w:t xml:space="preserve"> and Petah Tiqwa are in Cluster 9; Ashdod and Netanya in Cluster 7; Haif</w:t>
      </w:r>
      <w:r w:rsidR="0080684D" w:rsidRPr="009D5E35">
        <w:t>a</w:t>
      </w:r>
      <w:r w:rsidRPr="009D5E35">
        <w:t xml:space="preserve"> in Cluster 6</w:t>
      </w:r>
      <w:r w:rsidR="0098423D">
        <w:t>;</w:t>
      </w:r>
      <w:r w:rsidRPr="009D5E35">
        <w:t xml:space="preserve"> and </w:t>
      </w:r>
      <w:proofErr w:type="spellStart"/>
      <w:r w:rsidRPr="009D5E35">
        <w:t>Be’er</w:t>
      </w:r>
      <w:proofErr w:type="spellEnd"/>
      <w:r w:rsidRPr="009D5E35">
        <w:t xml:space="preserve"> Sheva in Cluster 5.</w:t>
      </w:r>
    </w:p>
    <w:p w14:paraId="583EF7D9" w14:textId="5425AD80" w:rsidR="006870E3" w:rsidRPr="009D5E35" w:rsidRDefault="006870E3" w:rsidP="00011086">
      <w:pPr>
        <w:pStyle w:val="body"/>
      </w:pPr>
      <w:r w:rsidRPr="009D5E35">
        <w:t>In addition,</w:t>
      </w:r>
      <w:r w:rsidRPr="009D5E35">
        <w:rPr>
          <w:b/>
          <w:bCs/>
        </w:rPr>
        <w:t xml:space="preserve"> Table 1</w:t>
      </w:r>
      <w:r w:rsidRPr="009D5E35">
        <w:t xml:space="preserve"> displays the </w:t>
      </w:r>
      <w:r w:rsidR="00D31603">
        <w:t>Peripherality Index 20</w:t>
      </w:r>
      <w:r w:rsidR="00AD4D87">
        <w:t>15</w:t>
      </w:r>
      <w:r w:rsidRPr="009D5E35">
        <w:t xml:space="preserve">. </w:t>
      </w:r>
      <w:r w:rsidR="0080684D" w:rsidRPr="009D5E35">
        <w:t>Changes in the allocation to clusters</w:t>
      </w:r>
      <w:r w:rsidR="00DB7A8A" w:rsidRPr="009D5E35">
        <w:t xml:space="preserve"> according to the </w:t>
      </w:r>
      <w:r w:rsidR="008466EB">
        <w:t>Peripherality Index 20</w:t>
      </w:r>
      <w:r w:rsidR="00AD4D87">
        <w:t>20</w:t>
      </w:r>
      <w:r w:rsidR="00DB7A8A" w:rsidRPr="009D5E35">
        <w:t xml:space="preserve"> compared to the 20</w:t>
      </w:r>
      <w:r w:rsidR="00AD4D87">
        <w:t>15</w:t>
      </w:r>
      <w:r w:rsidR="00DB7A8A" w:rsidRPr="009D5E35">
        <w:t xml:space="preserve"> Index are </w:t>
      </w:r>
      <w:r w:rsidR="0080684D" w:rsidRPr="00011086">
        <w:t xml:space="preserve">due to changes in </w:t>
      </w:r>
      <w:r w:rsidR="00DB7A8A" w:rsidRPr="00011086">
        <w:t xml:space="preserve">the </w:t>
      </w:r>
      <w:r w:rsidR="00011086" w:rsidRPr="00011086">
        <w:t>population size</w:t>
      </w:r>
      <w:r w:rsidR="00172193">
        <w:t>s</w:t>
      </w:r>
      <w:r w:rsidR="0080684D" w:rsidRPr="00011086">
        <w:t xml:space="preserve"> of the </w:t>
      </w:r>
      <w:r w:rsidR="00011086" w:rsidRPr="00011086">
        <w:t>localities</w:t>
      </w:r>
      <w:r w:rsidR="00011086">
        <w:t xml:space="preserve"> and in the driving distances within the road network</w:t>
      </w:r>
      <w:r w:rsidR="0080684D" w:rsidRPr="009D5E35">
        <w:t>.</w:t>
      </w:r>
    </w:p>
    <w:p w14:paraId="02B7339A" w14:textId="53492296" w:rsidR="00F558CC" w:rsidRPr="009D5E35" w:rsidRDefault="00F558CC" w:rsidP="00004C91">
      <w:pPr>
        <w:pStyle w:val="body"/>
      </w:pPr>
      <w:r w:rsidRPr="009D5E35">
        <w:rPr>
          <w:b/>
          <w:bCs/>
        </w:rPr>
        <w:t>Table 2</w:t>
      </w:r>
      <w:r w:rsidRPr="009D5E35">
        <w:t xml:space="preserve"> displays </w:t>
      </w:r>
      <w:r w:rsidR="00E5087E" w:rsidRPr="009D5E35">
        <w:t>the localities in ascending</w:t>
      </w:r>
      <w:r w:rsidR="00B97D64">
        <w:t xml:space="preserve"> order</w:t>
      </w:r>
      <w:r w:rsidR="00E5087E" w:rsidRPr="009D5E35">
        <w:t xml:space="preserve"> of the </w:t>
      </w:r>
      <w:r w:rsidR="008466EB">
        <w:t>Peripherality Index 20</w:t>
      </w:r>
      <w:r w:rsidR="00004C91">
        <w:t>20</w:t>
      </w:r>
      <w:r w:rsidR="00B97D64">
        <w:t>, with rank</w:t>
      </w:r>
      <w:r w:rsidR="00E5087E" w:rsidRPr="009D5E35">
        <w:t>s (fro</w:t>
      </w:r>
      <w:r w:rsidR="00B721BC">
        <w:t>m 1 – the most peripheral, to 1</w:t>
      </w:r>
      <w:r w:rsidR="00004C91">
        <w:t>213</w:t>
      </w:r>
      <w:r w:rsidR="00E5087E" w:rsidRPr="009D5E35">
        <w:t xml:space="preserve">– the most central) and allocation to clusters (from 1 to 10). </w:t>
      </w:r>
      <w:r w:rsidR="006F6FC0" w:rsidRPr="009D5E35">
        <w:t>Also disp</w:t>
      </w:r>
      <w:r w:rsidR="00B97D64">
        <w:t>layed are the values and rank</w:t>
      </w:r>
      <w:r w:rsidR="006F6FC0" w:rsidRPr="009D5E35">
        <w:t>s for the potential accessibility index and proximity to the boundary of the Tel Aviv District. The values of the two components are standardized, such that the average value over all localities is zero and the standard deviation is 1.</w:t>
      </w:r>
    </w:p>
    <w:p w14:paraId="49434069" w14:textId="751AEDFD" w:rsidR="006F6FC0" w:rsidRPr="009D5E35" w:rsidRDefault="006F6FC0" w:rsidP="000B0C41">
      <w:pPr>
        <w:pStyle w:val="body"/>
      </w:pPr>
      <w:r w:rsidRPr="009D5E35">
        <w:rPr>
          <w:b/>
          <w:bCs/>
        </w:rPr>
        <w:t>Table 3</w:t>
      </w:r>
      <w:r w:rsidRPr="009D5E35">
        <w:t xml:space="preserve"> displays the </w:t>
      </w:r>
      <w:r w:rsidR="00EA6F6F">
        <w:t xml:space="preserve">localities within the </w:t>
      </w:r>
      <w:r w:rsidRPr="009D5E35">
        <w:t>regional councils</w:t>
      </w:r>
      <w:r w:rsidR="00EA6F6F">
        <w:t>, with the regional councils appearing</w:t>
      </w:r>
      <w:r w:rsidR="00B721BC">
        <w:t xml:space="preserve"> in Hebrew</w:t>
      </w:r>
      <w:r w:rsidRPr="009D5E35">
        <w:t xml:space="preserve"> alphabetical order and </w:t>
      </w:r>
      <w:r w:rsidR="00B97D64">
        <w:t>localities within each</w:t>
      </w:r>
      <w:r w:rsidRPr="009D5E35">
        <w:t xml:space="preserve"> regional council</w:t>
      </w:r>
      <w:r w:rsidR="00B97D64">
        <w:t xml:space="preserve"> appearing</w:t>
      </w:r>
      <w:r w:rsidRPr="009D5E35">
        <w:t xml:space="preserve"> in </w:t>
      </w:r>
      <w:r w:rsidR="00B97D64">
        <w:t xml:space="preserve">ascending </w:t>
      </w:r>
      <w:r w:rsidRPr="009D5E35">
        <w:t xml:space="preserve">order of </w:t>
      </w:r>
      <w:r w:rsidR="00B97D64">
        <w:t xml:space="preserve">the </w:t>
      </w:r>
      <w:r w:rsidR="008466EB">
        <w:t>Peripherality Index 20</w:t>
      </w:r>
      <w:r w:rsidR="000B0C41">
        <w:t>20</w:t>
      </w:r>
      <w:r w:rsidRPr="009D5E35">
        <w:t xml:space="preserve">. This </w:t>
      </w:r>
      <w:r w:rsidR="00B97D64">
        <w:t>table</w:t>
      </w:r>
      <w:r w:rsidRPr="009D5E35">
        <w:t xml:space="preserve"> allows one to see the </w:t>
      </w:r>
      <w:r w:rsidR="00F653DA">
        <w:t>variability</w:t>
      </w:r>
      <w:r w:rsidRPr="009D5E35">
        <w:t xml:space="preserve"> of </w:t>
      </w:r>
      <w:r w:rsidR="002209A8" w:rsidRPr="009D5E35">
        <w:t>the localities’ clusters within each regional council.</w:t>
      </w:r>
    </w:p>
    <w:p w14:paraId="340ACF18" w14:textId="2528FC98" w:rsidR="002209A8" w:rsidRPr="009D5E35" w:rsidRDefault="002209A8" w:rsidP="000B0C41">
      <w:pPr>
        <w:pStyle w:val="body"/>
      </w:pPr>
      <w:r w:rsidRPr="009D5E35">
        <w:rPr>
          <w:b/>
          <w:bCs/>
        </w:rPr>
        <w:lastRenderedPageBreak/>
        <w:t>Diagrams 1 and 2</w:t>
      </w:r>
      <w:r w:rsidRPr="009D5E35">
        <w:t xml:space="preserve"> show the distributions of the population and</w:t>
      </w:r>
      <w:r w:rsidR="00B97D64">
        <w:t xml:space="preserve"> of</w:t>
      </w:r>
      <w:r w:rsidRPr="009D5E35">
        <w:t xml:space="preserve"> the number of local authorities by 20</w:t>
      </w:r>
      <w:r w:rsidR="000B0C41">
        <w:t>20</w:t>
      </w:r>
      <w:r w:rsidRPr="009D5E35">
        <w:t xml:space="preserve"> peripherality cluster, respectively.</w:t>
      </w:r>
    </w:p>
    <w:p w14:paraId="1DB7991F" w14:textId="306F2C76" w:rsidR="002209A8" w:rsidRPr="009D5E35" w:rsidRDefault="002209A8" w:rsidP="000B0C41">
      <w:pPr>
        <w:pStyle w:val="body"/>
      </w:pPr>
      <w:r w:rsidRPr="009D5E35">
        <w:rPr>
          <w:b/>
          <w:bCs/>
        </w:rPr>
        <w:t>Diagrams 3 and 4</w:t>
      </w:r>
      <w:r w:rsidRPr="009D5E35">
        <w:t xml:space="preserve"> show the distributions of the population and </w:t>
      </w:r>
      <w:r w:rsidR="00B97D64">
        <w:t xml:space="preserve">of </w:t>
      </w:r>
      <w:r w:rsidRPr="009D5E35">
        <w:t>the number of localities by 20</w:t>
      </w:r>
      <w:r w:rsidR="000B0C41">
        <w:t>20</w:t>
      </w:r>
      <w:r w:rsidRPr="009D5E35">
        <w:t xml:space="preserve"> peripherality cluster, respectively.</w:t>
      </w:r>
    </w:p>
    <w:p w14:paraId="277A0617" w14:textId="34096B28" w:rsidR="002209A8" w:rsidRPr="009D5E35" w:rsidRDefault="002209A8" w:rsidP="000B0C41">
      <w:pPr>
        <w:pStyle w:val="body"/>
      </w:pPr>
      <w:r w:rsidRPr="009D5E35">
        <w:t xml:space="preserve">The </w:t>
      </w:r>
      <w:r w:rsidRPr="009D5E35">
        <w:rPr>
          <w:b/>
          <w:bCs/>
        </w:rPr>
        <w:t>map of local authorities</w:t>
      </w:r>
      <w:r w:rsidRPr="009D5E35">
        <w:t xml:space="preserve"> </w:t>
      </w:r>
      <w:r w:rsidR="00FD2997">
        <w:t>show</w:t>
      </w:r>
      <w:r w:rsidR="0087442E">
        <w:t>s</w:t>
      </w:r>
      <w:r w:rsidR="00143E13" w:rsidRPr="009D5E35">
        <w:t xml:space="preserve"> a distribution of the local authorities by </w:t>
      </w:r>
      <w:r w:rsidR="008466EB">
        <w:t xml:space="preserve">Peripherality </w:t>
      </w:r>
      <w:r w:rsidR="00B721BC">
        <w:t xml:space="preserve">Cluster </w:t>
      </w:r>
      <w:r w:rsidR="008466EB">
        <w:t>20</w:t>
      </w:r>
      <w:r w:rsidR="000B0C41">
        <w:t>20</w:t>
      </w:r>
      <w:r w:rsidR="00143E13" w:rsidRPr="009D5E35">
        <w:t xml:space="preserve">. </w:t>
      </w:r>
      <w:r w:rsidR="00CD41F0" w:rsidRPr="009D5E35">
        <w:t>Each</w:t>
      </w:r>
      <w:r w:rsidR="00143E13" w:rsidRPr="009D5E35">
        <w:t xml:space="preserve"> local authorit</w:t>
      </w:r>
      <w:r w:rsidR="00CD41F0" w:rsidRPr="009D5E35">
        <w:t>y</w:t>
      </w:r>
      <w:r w:rsidR="00143E13" w:rsidRPr="009D5E35">
        <w:t xml:space="preserve"> </w:t>
      </w:r>
      <w:r w:rsidR="00CD41F0" w:rsidRPr="009D5E35">
        <w:t>is represented by</w:t>
      </w:r>
      <w:r w:rsidR="00143E13" w:rsidRPr="009D5E35">
        <w:t xml:space="preserve"> </w:t>
      </w:r>
      <w:r w:rsidR="00CD41F0" w:rsidRPr="009D5E35">
        <w:t>its</w:t>
      </w:r>
      <w:r w:rsidR="00143E13" w:rsidRPr="009D5E35">
        <w:t xml:space="preserve"> a</w:t>
      </w:r>
      <w:r w:rsidR="00CE4C21">
        <w:t xml:space="preserve">rea </w:t>
      </w:r>
      <w:r w:rsidR="00143E13" w:rsidRPr="009D5E35">
        <w:t xml:space="preserve">of jurisdiction, except the </w:t>
      </w:r>
      <w:r w:rsidR="00CE4C21">
        <w:t>regional</w:t>
      </w:r>
      <w:r w:rsidR="00143E13" w:rsidRPr="009D5E35">
        <w:t xml:space="preserve"> councils in the Judea and Samaria </w:t>
      </w:r>
      <w:r w:rsidR="00143E13" w:rsidRPr="00EA6F6F">
        <w:t>Area</w:t>
      </w:r>
      <w:r w:rsidR="00143E13" w:rsidRPr="009D5E35">
        <w:t xml:space="preserve">, which are </w:t>
      </w:r>
      <w:r w:rsidR="00CD41F0" w:rsidRPr="009D5E35">
        <w:t>represented by circles.</w:t>
      </w:r>
    </w:p>
    <w:p w14:paraId="0F48734E" w14:textId="6860B186" w:rsidR="00CD41F0" w:rsidRPr="009D5E35" w:rsidRDefault="00CD41F0" w:rsidP="000B0C41">
      <w:pPr>
        <w:pStyle w:val="body"/>
        <w:spacing w:after="120"/>
      </w:pPr>
      <w:r w:rsidRPr="009D5E35">
        <w:t xml:space="preserve">The </w:t>
      </w:r>
      <w:r w:rsidRPr="009D5E35">
        <w:rPr>
          <w:b/>
          <w:bCs/>
        </w:rPr>
        <w:t>map of localities</w:t>
      </w:r>
      <w:r w:rsidRPr="009D5E35">
        <w:t xml:space="preserve"> shows a distribution of the localities by </w:t>
      </w:r>
      <w:r w:rsidR="008466EB">
        <w:t xml:space="preserve">Peripherality </w:t>
      </w:r>
      <w:r w:rsidR="00B721BC">
        <w:t xml:space="preserve">Cluster </w:t>
      </w:r>
      <w:r w:rsidR="008466EB">
        <w:t>20</w:t>
      </w:r>
      <w:r w:rsidR="000B0C41">
        <w:t>20</w:t>
      </w:r>
      <w:r w:rsidRPr="009D5E35">
        <w:t xml:space="preserve">. Each locality is represented by a circle, the size of which indicates the size of its population, according to 3 size groups: (1) </w:t>
      </w:r>
      <w:r w:rsidR="00B721BC">
        <w:t>less</w:t>
      </w:r>
      <w:r w:rsidRPr="009D5E35">
        <w:t xml:space="preserve"> than 20,000 residents; (2) between 20,000 and 99,999 residents, and (3) 100,000 or more residents.</w:t>
      </w:r>
    </w:p>
    <w:p w14:paraId="697C2DBB" w14:textId="429265FE" w:rsidR="00CD41F0" w:rsidRPr="009D5E35" w:rsidRDefault="00CD41F0" w:rsidP="00157AD2">
      <w:pPr>
        <w:pStyle w:val="2"/>
        <w:numPr>
          <w:ilvl w:val="0"/>
          <w:numId w:val="22"/>
        </w:numPr>
        <w:spacing w:before="360" w:after="240"/>
        <w:ind w:left="357" w:hanging="357"/>
      </w:pPr>
      <w:bookmarkStart w:id="84" w:name="_Toc127808143"/>
      <w:bookmarkStart w:id="85" w:name="_Toc371440"/>
      <w:bookmarkStart w:id="86" w:name="_Toc149219686"/>
      <w:r w:rsidRPr="009D5E35">
        <w:t xml:space="preserve">Summary and </w:t>
      </w:r>
      <w:r w:rsidR="00452CCE">
        <w:t xml:space="preserve">Forecast </w:t>
      </w:r>
      <w:r w:rsidR="003C2601">
        <w:t xml:space="preserve">for </w:t>
      </w:r>
      <w:r w:rsidRPr="009D5E35">
        <w:t>Future</w:t>
      </w:r>
      <w:bookmarkEnd w:id="84"/>
      <w:bookmarkEnd w:id="85"/>
      <w:bookmarkEnd w:id="86"/>
    </w:p>
    <w:p w14:paraId="5BF35A30" w14:textId="438A3857" w:rsidR="000E4FC9" w:rsidRDefault="000E4FC9" w:rsidP="0077301B">
      <w:pPr>
        <w:pStyle w:val="body"/>
      </w:pPr>
      <w:r w:rsidRPr="009D5E35">
        <w:t xml:space="preserve">The </w:t>
      </w:r>
      <w:r w:rsidR="00A94A6E">
        <w:t>Peripherality Index</w:t>
      </w:r>
      <w:r w:rsidRPr="009D5E35">
        <w:t xml:space="preserve"> 20</w:t>
      </w:r>
      <w:r w:rsidR="00077EE0">
        <w:t xml:space="preserve">20 presented in this publication </w:t>
      </w:r>
      <w:r w:rsidR="00703F38" w:rsidRPr="00DE2A44">
        <w:t xml:space="preserve">was constructed </w:t>
      </w:r>
      <w:r w:rsidR="00703F38" w:rsidRPr="007D064C">
        <w:t>at the level of locality</w:t>
      </w:r>
      <w:r w:rsidR="00703F38" w:rsidRPr="00703F38">
        <w:t xml:space="preserve"> and at the level of local authority,</w:t>
      </w:r>
      <w:r w:rsidR="00703F38">
        <w:rPr>
          <w:b/>
          <w:bCs/>
        </w:rPr>
        <w:t xml:space="preserve"> </w:t>
      </w:r>
      <w:r w:rsidR="00703F38" w:rsidRPr="00703F38">
        <w:t>and</w:t>
      </w:r>
      <w:r w:rsidR="00703F38" w:rsidRPr="00767BBD">
        <w:rPr>
          <w:b/>
          <w:bCs/>
        </w:rPr>
        <w:t xml:space="preserve"> </w:t>
      </w:r>
      <w:r w:rsidR="00703F38" w:rsidRPr="009D5E35">
        <w:t>is a</w:t>
      </w:r>
      <w:r w:rsidR="00703F38">
        <w:t>n update</w:t>
      </w:r>
      <w:r w:rsidR="00703F38" w:rsidRPr="009D5E35">
        <w:t xml:space="preserve"> of the </w:t>
      </w:r>
      <w:r w:rsidR="00703F38">
        <w:t>Peripherality Index 2015.</w:t>
      </w:r>
      <w:r w:rsidR="00703F38" w:rsidRPr="009D5E35">
        <w:t xml:space="preserve"> The </w:t>
      </w:r>
      <w:r w:rsidR="00703F38">
        <w:t>Peripherality Index</w:t>
      </w:r>
      <w:r w:rsidR="00703F38" w:rsidRPr="009D5E35">
        <w:t xml:space="preserve"> 20</w:t>
      </w:r>
      <w:r w:rsidR="00703F38">
        <w:t xml:space="preserve">20 </w:t>
      </w:r>
      <w:r w:rsidR="00703F38" w:rsidRPr="00767BBD">
        <w:t>employed</w:t>
      </w:r>
      <w:r w:rsidR="00703F38" w:rsidRPr="00767BBD">
        <w:rPr>
          <w:b/>
          <w:bCs/>
        </w:rPr>
        <w:t xml:space="preserve"> </w:t>
      </w:r>
      <w:r w:rsidR="00703F38" w:rsidRPr="00703F38">
        <w:t xml:space="preserve">the same methodology and the same parameters used to </w:t>
      </w:r>
      <w:r w:rsidR="006615F6">
        <w:rPr>
          <w:lang w:val="en-US"/>
        </w:rPr>
        <w:t>calculate</w:t>
      </w:r>
      <w:r w:rsidR="00703F38" w:rsidRPr="00703F38">
        <w:t xml:space="preserve"> the </w:t>
      </w:r>
      <w:r w:rsidR="00703F38">
        <w:t>previous</w:t>
      </w:r>
      <w:r w:rsidR="00703F38" w:rsidRPr="00703F38">
        <w:t xml:space="preserve"> </w:t>
      </w:r>
      <w:r w:rsidR="00233A3F">
        <w:t>i</w:t>
      </w:r>
      <w:r w:rsidR="00703F38" w:rsidRPr="00703F38">
        <w:t>ndex</w:t>
      </w:r>
      <w:r w:rsidR="00703F38">
        <w:t>.</w:t>
      </w:r>
    </w:p>
    <w:p w14:paraId="19FB3C67" w14:textId="272348E0" w:rsidR="0077301B" w:rsidRDefault="0077301B" w:rsidP="00077EE0">
      <w:pPr>
        <w:pStyle w:val="body"/>
        <w:spacing w:after="0"/>
      </w:pPr>
      <w:r w:rsidRPr="0077301B">
        <w:rPr>
          <w:b/>
          <w:bCs/>
        </w:rPr>
        <w:t xml:space="preserve">The </w:t>
      </w:r>
      <w:r>
        <w:rPr>
          <w:b/>
          <w:bCs/>
        </w:rPr>
        <w:t xml:space="preserve">index </w:t>
      </w:r>
      <w:r w:rsidRPr="0077301B">
        <w:rPr>
          <w:b/>
          <w:bCs/>
        </w:rPr>
        <w:t>was constructed</w:t>
      </w:r>
      <w:r w:rsidRPr="0077301B">
        <w:t xml:space="preserve"> </w:t>
      </w:r>
      <w:r w:rsidRPr="0077301B">
        <w:rPr>
          <w:b/>
          <w:bCs/>
        </w:rPr>
        <w:t>at the level of locality</w:t>
      </w:r>
      <w:r>
        <w:rPr>
          <w:b/>
          <w:bCs/>
        </w:rPr>
        <w:t xml:space="preserve"> and then aggregated</w:t>
      </w:r>
      <w:r w:rsidRPr="007D064C">
        <w:rPr>
          <w:b/>
        </w:rPr>
        <w:t xml:space="preserve"> to the </w:t>
      </w:r>
      <w:r>
        <w:rPr>
          <w:b/>
          <w:bCs/>
        </w:rPr>
        <w:t>level of local authority.</w:t>
      </w:r>
    </w:p>
    <w:p w14:paraId="5648EC1F" w14:textId="0F193EE4" w:rsidR="00DD376F" w:rsidRPr="00DE2A44" w:rsidRDefault="00DD376F" w:rsidP="007D064C">
      <w:pPr>
        <w:pStyle w:val="body"/>
      </w:pPr>
      <w:r w:rsidRPr="00DE2A44">
        <w:t xml:space="preserve">The </w:t>
      </w:r>
      <w:r w:rsidR="008F197F">
        <w:t xml:space="preserve">index </w:t>
      </w:r>
      <w:r w:rsidRPr="00DE2A44">
        <w:t>value</w:t>
      </w:r>
      <w:r w:rsidR="005B5CC6">
        <w:t xml:space="preserve"> </w:t>
      </w:r>
      <w:r w:rsidRPr="00DE2A44">
        <w:t xml:space="preserve">was calculated </w:t>
      </w:r>
      <w:r>
        <w:t xml:space="preserve">as </w:t>
      </w:r>
      <w:r w:rsidRPr="00DE2A44">
        <w:t>a weighted t</w:t>
      </w:r>
      <w:r w:rsidR="008F197F">
        <w:t xml:space="preserve">otal </w:t>
      </w:r>
      <w:r w:rsidRPr="00DE2A44">
        <w:t xml:space="preserve">of two components: </w:t>
      </w:r>
      <w:r w:rsidRPr="008F197F">
        <w:rPr>
          <w:b/>
          <w:bCs/>
        </w:rPr>
        <w:t>the potential accessibility index</w:t>
      </w:r>
      <w:r w:rsidRPr="00DE2A44">
        <w:t xml:space="preserve"> (2/3 weight) and </w:t>
      </w:r>
      <w:r w:rsidRPr="008F197F">
        <w:rPr>
          <w:b/>
          <w:bCs/>
        </w:rPr>
        <w:t>proximity to the boundary of the T</w:t>
      </w:r>
      <w:r w:rsidR="008F197F" w:rsidRPr="008F197F">
        <w:rPr>
          <w:b/>
          <w:bCs/>
        </w:rPr>
        <w:t>el Aviv District</w:t>
      </w:r>
      <w:r w:rsidR="008F197F">
        <w:t xml:space="preserve"> (1/3 weight). </w:t>
      </w:r>
      <w:r w:rsidRPr="008F197F">
        <w:t>The potential accessibility index</w:t>
      </w:r>
      <w:r w:rsidRPr="00DE2A44">
        <w:t xml:space="preserve"> reflects the proximity of the given locality to each of the localities in Israel</w:t>
      </w:r>
      <w:r w:rsidR="00D95E5E">
        <w:t xml:space="preserve"> </w:t>
      </w:r>
      <w:r w:rsidRPr="00DE2A44">
        <w:t xml:space="preserve">weighted by the size of their populations, with the size of the population indicating the intensity of the opportunities, activities, and assets in </w:t>
      </w:r>
      <w:r w:rsidR="00435B25">
        <w:t>the</w:t>
      </w:r>
      <w:r w:rsidRPr="00DE2A44">
        <w:t xml:space="preserve"> locality. </w:t>
      </w:r>
      <w:r w:rsidRPr="008F197F">
        <w:t xml:space="preserve">The proximity to the boundary of the Tel Aviv District </w:t>
      </w:r>
      <w:r w:rsidRPr="00DE2A44">
        <w:t xml:space="preserve">reflects the monocentric structure of Israel, where the Tel Aviv District constitutes </w:t>
      </w:r>
      <w:r w:rsidR="00D95E5E">
        <w:t>the</w:t>
      </w:r>
      <w:r w:rsidRPr="00DE2A44">
        <w:t xml:space="preserve"> economic and business centre.</w:t>
      </w:r>
    </w:p>
    <w:p w14:paraId="28F43692" w14:textId="670D205D" w:rsidR="00DD376F" w:rsidRPr="007D75C2" w:rsidRDefault="008F197F" w:rsidP="007D064C">
      <w:pPr>
        <w:pStyle w:val="body"/>
        <w:rPr>
          <w:b/>
          <w:bCs/>
        </w:rPr>
      </w:pPr>
      <w:r w:rsidRPr="009D5E35">
        <w:t xml:space="preserve">Data on the </w:t>
      </w:r>
      <w:r>
        <w:rPr>
          <w:b/>
          <w:bCs/>
        </w:rPr>
        <w:t>population size</w:t>
      </w:r>
      <w:r w:rsidR="007062CD">
        <w:rPr>
          <w:b/>
          <w:bCs/>
        </w:rPr>
        <w:t>s</w:t>
      </w:r>
      <w:r w:rsidRPr="008F197F">
        <w:rPr>
          <w:b/>
          <w:bCs/>
        </w:rPr>
        <w:t xml:space="preserve"> of the localities</w:t>
      </w:r>
      <w:r w:rsidRPr="009D5E35">
        <w:t xml:space="preserve"> </w:t>
      </w:r>
      <w:r w:rsidR="007062CD">
        <w:t xml:space="preserve">were </w:t>
      </w:r>
      <w:r w:rsidRPr="009D5E35">
        <w:t>updated to the end of 20</w:t>
      </w:r>
      <w:r>
        <w:t xml:space="preserve">20. </w:t>
      </w:r>
      <w:r w:rsidR="007D75C2" w:rsidRPr="007D75C2">
        <w:t xml:space="preserve">The </w:t>
      </w:r>
      <w:r w:rsidR="007D75C2" w:rsidRPr="007D75C2">
        <w:rPr>
          <w:b/>
          <w:bCs/>
        </w:rPr>
        <w:t>distances between the localities</w:t>
      </w:r>
      <w:r w:rsidR="007D75C2" w:rsidRPr="007D064C">
        <w:t xml:space="preserve"> were calculated between the centres of the localities (the indicator points)</w:t>
      </w:r>
      <w:r w:rsidR="007D75C2" w:rsidRPr="007D75C2">
        <w:t xml:space="preserve">, which were determined according to the average of the </w:t>
      </w:r>
      <w:r w:rsidR="005174B7" w:rsidRPr="007D75C2">
        <w:t>coordin</w:t>
      </w:r>
      <w:r w:rsidR="005174B7">
        <w:t>a</w:t>
      </w:r>
      <w:r w:rsidR="005174B7" w:rsidRPr="007D75C2">
        <w:t>tes</w:t>
      </w:r>
      <w:r w:rsidR="00283E41">
        <w:t xml:space="preserve"> </w:t>
      </w:r>
      <w:r w:rsidR="007D75C2" w:rsidRPr="007D75C2">
        <w:t>of the buildings located within the jurisdiction of each locality.</w:t>
      </w:r>
      <w:r w:rsidR="007D75C2">
        <w:rPr>
          <w:b/>
          <w:bCs/>
        </w:rPr>
        <w:t xml:space="preserve"> </w:t>
      </w:r>
      <w:r w:rsidR="00DD376F" w:rsidRPr="00DE2A44">
        <w:t xml:space="preserve">The </w:t>
      </w:r>
      <w:r w:rsidR="00DD376F" w:rsidRPr="008F197F">
        <w:t>distances</w:t>
      </w:r>
      <w:r w:rsidR="00DD376F" w:rsidRPr="00DE2A44">
        <w:t xml:space="preserve"> in each of the components of the index were calculated as the shortest </w:t>
      </w:r>
      <w:r w:rsidR="00A73746">
        <w:t xml:space="preserve">distance over the road network </w:t>
      </w:r>
      <w:r w:rsidR="00DD376F" w:rsidRPr="00DE2A44">
        <w:t xml:space="preserve">updated to </w:t>
      </w:r>
      <w:r w:rsidR="00DD376F">
        <w:t>December</w:t>
      </w:r>
      <w:r w:rsidR="00DD376F" w:rsidRPr="00DE2A44">
        <w:t xml:space="preserve"> 20</w:t>
      </w:r>
      <w:r w:rsidR="00DD376F">
        <w:t>20</w:t>
      </w:r>
      <w:r w:rsidR="00A73746">
        <w:t>,</w:t>
      </w:r>
      <w:r w:rsidR="00DD376F" w:rsidRPr="00DE2A44">
        <w:t xml:space="preserve"> under constraints of roads closed due to construction or security reasons.</w:t>
      </w:r>
    </w:p>
    <w:p w14:paraId="2A05A6E5" w14:textId="77777777" w:rsidR="0077301B" w:rsidRPr="00816F65" w:rsidRDefault="0077301B" w:rsidP="000B040E">
      <w:pPr>
        <w:pStyle w:val="body"/>
        <w:rPr>
          <w:b/>
          <w:bCs/>
        </w:rPr>
      </w:pPr>
      <w:r>
        <w:t>C</w:t>
      </w:r>
      <w:r w:rsidRPr="009D5E35">
        <w:t>hanges in the 20</w:t>
      </w:r>
      <w:r>
        <w:t>20</w:t>
      </w:r>
      <w:r w:rsidRPr="009D5E35">
        <w:t xml:space="preserve"> index compared to the 20</w:t>
      </w:r>
      <w:r>
        <w:t>15</w:t>
      </w:r>
      <w:r w:rsidRPr="009D5E35">
        <w:t xml:space="preserve"> index are a result of changes </w:t>
      </w:r>
      <w:r>
        <w:t xml:space="preserve">in </w:t>
      </w:r>
      <w:r w:rsidRPr="009D5E35">
        <w:t>the population and infrastructure data.</w:t>
      </w:r>
    </w:p>
    <w:p w14:paraId="35E07309" w14:textId="77BCAE73" w:rsidR="009A0D0C" w:rsidRDefault="009A0D0C" w:rsidP="007D064C">
      <w:pPr>
        <w:pStyle w:val="body"/>
      </w:pPr>
      <w:r>
        <w:lastRenderedPageBreak/>
        <w:t xml:space="preserve">The </w:t>
      </w:r>
      <w:r w:rsidR="00C01ED6">
        <w:t>CBS</w:t>
      </w:r>
      <w:r>
        <w:t xml:space="preserve"> will </w:t>
      </w:r>
      <w:r w:rsidR="00DE6096">
        <w:t xml:space="preserve">update </w:t>
      </w:r>
      <w:r>
        <w:t xml:space="preserve">the peripherality indices for </w:t>
      </w:r>
      <w:r w:rsidR="00242CB2">
        <w:t xml:space="preserve">localities and local authorities in Israel </w:t>
      </w:r>
      <w:r w:rsidR="00242CB2" w:rsidRPr="00242CB2">
        <w:rPr>
          <w:b/>
          <w:bCs/>
        </w:rPr>
        <w:t>once every 5 years</w:t>
      </w:r>
      <w:r w:rsidR="00242CB2">
        <w:t>.</w:t>
      </w:r>
    </w:p>
    <w:p w14:paraId="7EAA03EC" w14:textId="77777777" w:rsidR="00972986" w:rsidRDefault="00242CB2" w:rsidP="007D064C">
      <w:pPr>
        <w:pStyle w:val="body"/>
      </w:pPr>
      <w:r w:rsidRPr="00535103">
        <w:rPr>
          <w:b/>
          <w:bCs/>
        </w:rPr>
        <w:t>Improvement of the calculation of the index in the future</w:t>
      </w:r>
      <w:r>
        <w:t xml:space="preserve"> requires </w:t>
      </w:r>
      <w:r w:rsidR="00542F63">
        <w:t xml:space="preserve">supplementation of missing data at the locality level, such as data on residence locality and work locality, origin and destination of daily trips, use of various means of transportation, travel time using various means of transportation, </w:t>
      </w:r>
      <w:r w:rsidR="0000153A">
        <w:t>and cost of trip</w:t>
      </w:r>
      <w:r w:rsidR="00542F63">
        <w:t xml:space="preserve">. </w:t>
      </w:r>
      <w:r w:rsidR="00FF5435">
        <w:t>For this purpose, a national survey of travel habits and use of big data are necessary.</w:t>
      </w:r>
    </w:p>
    <w:p w14:paraId="5BDCC89C" w14:textId="77777777" w:rsidR="00B75F7A" w:rsidRPr="000D616F" w:rsidRDefault="00972986">
      <w:pPr>
        <w:pStyle w:val="1"/>
      </w:pPr>
      <w:bookmarkStart w:id="87" w:name="_Toc127808144"/>
      <w:bookmarkStart w:id="88" w:name="_Toc371441"/>
      <w:bookmarkStart w:id="89" w:name="_Toc149219687"/>
      <w:r w:rsidRPr="000D616F">
        <w:t>Bibliography</w:t>
      </w:r>
      <w:bookmarkEnd w:id="87"/>
      <w:bookmarkEnd w:id="88"/>
      <w:bookmarkEnd w:id="89"/>
    </w:p>
    <w:p w14:paraId="4008E895" w14:textId="01D70733" w:rsidR="00D2661A" w:rsidRPr="00BA112D" w:rsidRDefault="00D2661A" w:rsidP="007E631B">
      <w:pPr>
        <w:pStyle w:val="biblio"/>
        <w:rPr>
          <w:sz w:val="24"/>
          <w:szCs w:val="24"/>
        </w:rPr>
      </w:pPr>
      <w:r w:rsidRPr="00BA112D">
        <w:rPr>
          <w:sz w:val="24"/>
          <w:szCs w:val="24"/>
        </w:rPr>
        <w:t xml:space="preserve">Central Bureau of Statistics. (2001). </w:t>
      </w:r>
      <w:r w:rsidRPr="002D5A8A">
        <w:rPr>
          <w:i/>
          <w:iCs/>
          <w:sz w:val="24"/>
          <w:szCs w:val="24"/>
        </w:rPr>
        <w:t>Travelling Habits Survey 1996/97</w:t>
      </w:r>
      <w:r w:rsidRPr="00BA112D">
        <w:rPr>
          <w:sz w:val="24"/>
          <w:szCs w:val="24"/>
        </w:rPr>
        <w:t>. Pub. No. 1141. Jerusalem: Author.</w:t>
      </w:r>
    </w:p>
    <w:p w14:paraId="30CF62CA" w14:textId="611EB36F" w:rsidR="00D2661A" w:rsidRPr="00BA112D" w:rsidRDefault="00D2661A" w:rsidP="007E631B">
      <w:pPr>
        <w:pStyle w:val="biblio"/>
        <w:rPr>
          <w:sz w:val="24"/>
          <w:szCs w:val="24"/>
        </w:rPr>
      </w:pPr>
      <w:r w:rsidRPr="00BA112D">
        <w:rPr>
          <w:sz w:val="24"/>
          <w:szCs w:val="24"/>
        </w:rPr>
        <w:t xml:space="preserve">Central Bureau of Statistics. (2002). </w:t>
      </w:r>
      <w:proofErr w:type="spellStart"/>
      <w:r w:rsidRPr="002D5A8A">
        <w:rPr>
          <w:i/>
          <w:iCs/>
          <w:sz w:val="24"/>
          <w:szCs w:val="24"/>
        </w:rPr>
        <w:t>Yisrael</w:t>
      </w:r>
      <w:proofErr w:type="spellEnd"/>
      <w:r w:rsidRPr="002D5A8A">
        <w:rPr>
          <w:i/>
          <w:iCs/>
          <w:sz w:val="24"/>
          <w:szCs w:val="24"/>
        </w:rPr>
        <w:t xml:space="preserve"> 2001 – </w:t>
      </w:r>
      <w:proofErr w:type="spellStart"/>
      <w:r w:rsidRPr="002D5A8A">
        <w:rPr>
          <w:i/>
          <w:iCs/>
          <w:sz w:val="24"/>
          <w:szCs w:val="24"/>
        </w:rPr>
        <w:t>Doch</w:t>
      </w:r>
      <w:proofErr w:type="spellEnd"/>
      <w:r w:rsidRPr="002D5A8A">
        <w:rPr>
          <w:i/>
          <w:iCs/>
          <w:sz w:val="24"/>
          <w:szCs w:val="24"/>
        </w:rPr>
        <w:t xml:space="preserve"> </w:t>
      </w:r>
      <w:proofErr w:type="spellStart"/>
      <w:r w:rsidRPr="002D5A8A">
        <w:rPr>
          <w:i/>
          <w:iCs/>
          <w:sz w:val="24"/>
          <w:szCs w:val="24"/>
        </w:rPr>
        <w:t>khevrati</w:t>
      </w:r>
      <w:proofErr w:type="spellEnd"/>
      <w:r w:rsidRPr="002D5A8A">
        <w:rPr>
          <w:i/>
          <w:iCs/>
          <w:sz w:val="24"/>
          <w:szCs w:val="24"/>
        </w:rPr>
        <w:t xml:space="preserve">. </w:t>
      </w:r>
      <w:proofErr w:type="spellStart"/>
      <w:r w:rsidRPr="002D5A8A">
        <w:rPr>
          <w:i/>
          <w:iCs/>
          <w:sz w:val="24"/>
          <w:szCs w:val="24"/>
        </w:rPr>
        <w:t>Indikatorim</w:t>
      </w:r>
      <w:proofErr w:type="spellEnd"/>
      <w:r w:rsidRPr="002D5A8A">
        <w:rPr>
          <w:i/>
          <w:iCs/>
          <w:sz w:val="24"/>
          <w:szCs w:val="24"/>
        </w:rPr>
        <w:t xml:space="preserve"> </w:t>
      </w:r>
      <w:proofErr w:type="spellStart"/>
      <w:r w:rsidRPr="002D5A8A">
        <w:rPr>
          <w:i/>
          <w:iCs/>
          <w:sz w:val="24"/>
          <w:szCs w:val="24"/>
        </w:rPr>
        <w:t>khevratiyim</w:t>
      </w:r>
      <w:proofErr w:type="spellEnd"/>
      <w:r w:rsidRPr="002D5A8A">
        <w:rPr>
          <w:i/>
          <w:iCs/>
          <w:sz w:val="24"/>
          <w:szCs w:val="24"/>
        </w:rPr>
        <w:t xml:space="preserve"> </w:t>
      </w:r>
      <w:proofErr w:type="spellStart"/>
      <w:r w:rsidRPr="002D5A8A">
        <w:rPr>
          <w:i/>
          <w:iCs/>
          <w:sz w:val="24"/>
          <w:szCs w:val="24"/>
        </w:rPr>
        <w:t>Mispar</w:t>
      </w:r>
      <w:proofErr w:type="spellEnd"/>
      <w:r w:rsidRPr="002D5A8A">
        <w:rPr>
          <w:i/>
          <w:iCs/>
          <w:sz w:val="24"/>
          <w:szCs w:val="24"/>
        </w:rPr>
        <w:t xml:space="preserve"> 5 [Israel 2001 – A social report. Social Indicators No. 5]</w:t>
      </w:r>
      <w:r w:rsidRPr="00BA112D">
        <w:rPr>
          <w:sz w:val="24"/>
          <w:szCs w:val="24"/>
        </w:rPr>
        <w:t>. Jerusalem: Author (Hebrew).</w:t>
      </w:r>
    </w:p>
    <w:p w14:paraId="1F0D9DE0" w14:textId="71D68C60" w:rsidR="00D2661A" w:rsidRPr="00BA112D" w:rsidRDefault="00D2661A" w:rsidP="007E631B">
      <w:pPr>
        <w:pStyle w:val="biblio"/>
        <w:rPr>
          <w:sz w:val="24"/>
          <w:szCs w:val="24"/>
        </w:rPr>
      </w:pPr>
      <w:r w:rsidRPr="00BA112D">
        <w:rPr>
          <w:sz w:val="24"/>
          <w:szCs w:val="24"/>
        </w:rPr>
        <w:t xml:space="preserve">Central Bureau of Statistics. (2008). </w:t>
      </w:r>
      <w:r w:rsidR="007E631B" w:rsidRPr="002D5A8A">
        <w:rPr>
          <w:i/>
          <w:iCs/>
          <w:sz w:val="24"/>
          <w:szCs w:val="24"/>
        </w:rPr>
        <w:t>Peripherality Index of local a</w:t>
      </w:r>
      <w:r w:rsidRPr="002D5A8A">
        <w:rPr>
          <w:i/>
          <w:iCs/>
          <w:sz w:val="24"/>
          <w:szCs w:val="24"/>
        </w:rPr>
        <w:t>uthorities 2004</w:t>
      </w:r>
      <w:r w:rsidRPr="00BA112D">
        <w:rPr>
          <w:sz w:val="24"/>
          <w:szCs w:val="24"/>
        </w:rPr>
        <w:t>. Press Release No. 160/2008. Jerusalem: Author.</w:t>
      </w:r>
    </w:p>
    <w:p w14:paraId="686E6095" w14:textId="4ED44406" w:rsidR="00D2661A" w:rsidRDefault="00D2661A" w:rsidP="007E631B">
      <w:pPr>
        <w:pStyle w:val="biblio"/>
        <w:rPr>
          <w:sz w:val="24"/>
          <w:szCs w:val="24"/>
        </w:rPr>
      </w:pPr>
      <w:r w:rsidRPr="00BA112D">
        <w:rPr>
          <w:sz w:val="24"/>
          <w:szCs w:val="24"/>
        </w:rPr>
        <w:t xml:space="preserve">Central Bureau of Statistics. (2010). </w:t>
      </w:r>
      <w:proofErr w:type="spellStart"/>
      <w:r w:rsidRPr="002D5A8A">
        <w:rPr>
          <w:i/>
          <w:iCs/>
          <w:sz w:val="24"/>
          <w:szCs w:val="24"/>
        </w:rPr>
        <w:t>P</w:t>
      </w:r>
      <w:r w:rsidR="00540511">
        <w:rPr>
          <w:i/>
          <w:iCs/>
          <w:sz w:val="24"/>
          <w:szCs w:val="24"/>
        </w:rPr>
        <w:t>ne</w:t>
      </w:r>
      <w:r w:rsidRPr="002D5A8A">
        <w:rPr>
          <w:i/>
          <w:iCs/>
          <w:sz w:val="24"/>
          <w:szCs w:val="24"/>
        </w:rPr>
        <w:t>i</w:t>
      </w:r>
      <w:proofErr w:type="spellEnd"/>
      <w:r w:rsidRPr="002D5A8A">
        <w:rPr>
          <w:i/>
          <w:iCs/>
          <w:sz w:val="24"/>
          <w:szCs w:val="24"/>
        </w:rPr>
        <w:t xml:space="preserve"> ha-</w:t>
      </w:r>
      <w:proofErr w:type="spellStart"/>
      <w:r w:rsidRPr="002D5A8A">
        <w:rPr>
          <w:i/>
          <w:iCs/>
          <w:sz w:val="24"/>
          <w:szCs w:val="24"/>
        </w:rPr>
        <w:t>khevra</w:t>
      </w:r>
      <w:proofErr w:type="spellEnd"/>
      <w:r w:rsidRPr="002D5A8A">
        <w:rPr>
          <w:i/>
          <w:iCs/>
          <w:sz w:val="24"/>
          <w:szCs w:val="24"/>
        </w:rPr>
        <w:t xml:space="preserve"> be-</w:t>
      </w:r>
      <w:proofErr w:type="spellStart"/>
      <w:r w:rsidRPr="002D5A8A">
        <w:rPr>
          <w:i/>
          <w:iCs/>
          <w:sz w:val="24"/>
          <w:szCs w:val="24"/>
        </w:rPr>
        <w:t>Yisrael</w:t>
      </w:r>
      <w:proofErr w:type="spellEnd"/>
      <w:r w:rsidRPr="002D5A8A">
        <w:rPr>
          <w:i/>
          <w:iCs/>
          <w:sz w:val="24"/>
          <w:szCs w:val="24"/>
        </w:rPr>
        <w:t xml:space="preserve">, </w:t>
      </w:r>
      <w:proofErr w:type="spellStart"/>
      <w:r w:rsidRPr="002D5A8A">
        <w:rPr>
          <w:i/>
          <w:iCs/>
          <w:sz w:val="24"/>
          <w:szCs w:val="24"/>
        </w:rPr>
        <w:t>Dokh</w:t>
      </w:r>
      <w:proofErr w:type="spellEnd"/>
      <w:r w:rsidRPr="002D5A8A">
        <w:rPr>
          <w:i/>
          <w:iCs/>
          <w:sz w:val="24"/>
          <w:szCs w:val="24"/>
        </w:rPr>
        <w:t xml:space="preserve"> </w:t>
      </w:r>
      <w:proofErr w:type="spellStart"/>
      <w:r w:rsidRPr="002D5A8A">
        <w:rPr>
          <w:i/>
          <w:iCs/>
          <w:sz w:val="24"/>
          <w:szCs w:val="24"/>
        </w:rPr>
        <w:t>Mispar</w:t>
      </w:r>
      <w:proofErr w:type="spellEnd"/>
      <w:r w:rsidRPr="002D5A8A">
        <w:rPr>
          <w:i/>
          <w:iCs/>
          <w:sz w:val="24"/>
          <w:szCs w:val="24"/>
        </w:rPr>
        <w:t xml:space="preserve"> 3 [Society in Israel, Report No. 3]</w:t>
      </w:r>
      <w:r w:rsidRPr="00BA112D">
        <w:rPr>
          <w:sz w:val="24"/>
          <w:szCs w:val="24"/>
        </w:rPr>
        <w:t>. Jerusalem: Author (Hebrew).</w:t>
      </w:r>
    </w:p>
    <w:p w14:paraId="6D7C1589" w14:textId="01189E9F" w:rsidR="000F15BA" w:rsidRDefault="000F15BA" w:rsidP="000F15BA">
      <w:pPr>
        <w:pStyle w:val="biblio"/>
        <w:rPr>
          <w:sz w:val="24"/>
          <w:szCs w:val="24"/>
        </w:rPr>
      </w:pPr>
      <w:r w:rsidRPr="00540511">
        <w:rPr>
          <w:sz w:val="24"/>
          <w:szCs w:val="24"/>
        </w:rPr>
        <w:t xml:space="preserve">Central Bureau of Statistics. (2017). </w:t>
      </w:r>
      <w:r w:rsidRPr="00540511">
        <w:rPr>
          <w:i/>
          <w:iCs/>
          <w:sz w:val="24"/>
          <w:szCs w:val="24"/>
        </w:rPr>
        <w:t>P</w:t>
      </w:r>
      <w:r w:rsidRPr="002D5A8A">
        <w:rPr>
          <w:i/>
          <w:iCs/>
          <w:sz w:val="24"/>
          <w:szCs w:val="24"/>
        </w:rPr>
        <w:t>eripherality</w:t>
      </w:r>
      <w:r w:rsidRPr="007D064C">
        <w:rPr>
          <w:i/>
          <w:sz w:val="24"/>
        </w:rPr>
        <w:t xml:space="preserve"> </w:t>
      </w:r>
      <w:r w:rsidRPr="002D5A8A">
        <w:rPr>
          <w:i/>
          <w:iCs/>
          <w:sz w:val="24"/>
          <w:szCs w:val="24"/>
        </w:rPr>
        <w:t xml:space="preserve">Index of </w:t>
      </w:r>
      <w:r>
        <w:rPr>
          <w:i/>
          <w:iCs/>
          <w:sz w:val="24"/>
          <w:szCs w:val="24"/>
        </w:rPr>
        <w:t xml:space="preserve">localities and </w:t>
      </w:r>
      <w:r w:rsidRPr="002D5A8A">
        <w:rPr>
          <w:i/>
          <w:iCs/>
          <w:sz w:val="24"/>
          <w:szCs w:val="24"/>
        </w:rPr>
        <w:t>local authorities 20</w:t>
      </w:r>
      <w:r>
        <w:rPr>
          <w:i/>
          <w:iCs/>
          <w:sz w:val="24"/>
          <w:szCs w:val="24"/>
        </w:rPr>
        <w:t>15</w:t>
      </w:r>
      <w:r w:rsidRPr="00BA112D">
        <w:rPr>
          <w:sz w:val="24"/>
          <w:szCs w:val="24"/>
        </w:rPr>
        <w:t xml:space="preserve">. Press Release No. </w:t>
      </w:r>
      <w:r w:rsidRPr="000F15BA">
        <w:rPr>
          <w:sz w:val="24"/>
          <w:szCs w:val="24"/>
        </w:rPr>
        <w:t>341/2017</w:t>
      </w:r>
      <w:r w:rsidRPr="00BA112D">
        <w:rPr>
          <w:sz w:val="24"/>
          <w:szCs w:val="24"/>
        </w:rPr>
        <w:t>.</w:t>
      </w:r>
      <w:r>
        <w:rPr>
          <w:sz w:val="24"/>
          <w:szCs w:val="24"/>
        </w:rPr>
        <w:t xml:space="preserve"> Jerusalem: Author.</w:t>
      </w:r>
    </w:p>
    <w:p w14:paraId="4C5307B4" w14:textId="2889E4EC" w:rsidR="00540511" w:rsidRDefault="00540511" w:rsidP="00540511">
      <w:pPr>
        <w:pStyle w:val="biblio"/>
        <w:rPr>
          <w:sz w:val="24"/>
          <w:szCs w:val="24"/>
        </w:rPr>
      </w:pPr>
      <w:r w:rsidRPr="00BA112D">
        <w:rPr>
          <w:sz w:val="24"/>
          <w:szCs w:val="24"/>
        </w:rPr>
        <w:t>Central Bureau of Statistics. (201</w:t>
      </w:r>
      <w:r>
        <w:rPr>
          <w:sz w:val="24"/>
          <w:szCs w:val="24"/>
        </w:rPr>
        <w:t>9</w:t>
      </w:r>
      <w:r w:rsidRPr="00BA112D">
        <w:rPr>
          <w:sz w:val="24"/>
          <w:szCs w:val="24"/>
        </w:rPr>
        <w:t xml:space="preserve">). </w:t>
      </w:r>
      <w:proofErr w:type="spellStart"/>
      <w:r w:rsidRPr="002D5A8A">
        <w:rPr>
          <w:i/>
          <w:iCs/>
          <w:sz w:val="24"/>
          <w:szCs w:val="24"/>
        </w:rPr>
        <w:t>P</w:t>
      </w:r>
      <w:r>
        <w:rPr>
          <w:i/>
          <w:iCs/>
          <w:sz w:val="24"/>
          <w:szCs w:val="24"/>
        </w:rPr>
        <w:t>ne</w:t>
      </w:r>
      <w:r w:rsidRPr="002D5A8A">
        <w:rPr>
          <w:i/>
          <w:iCs/>
          <w:sz w:val="24"/>
          <w:szCs w:val="24"/>
        </w:rPr>
        <w:t>i</w:t>
      </w:r>
      <w:proofErr w:type="spellEnd"/>
      <w:r w:rsidRPr="002D5A8A">
        <w:rPr>
          <w:i/>
          <w:iCs/>
          <w:sz w:val="24"/>
          <w:szCs w:val="24"/>
        </w:rPr>
        <w:t xml:space="preserve"> ha-</w:t>
      </w:r>
      <w:proofErr w:type="spellStart"/>
      <w:r w:rsidRPr="002D5A8A">
        <w:rPr>
          <w:i/>
          <w:iCs/>
          <w:sz w:val="24"/>
          <w:szCs w:val="24"/>
        </w:rPr>
        <w:t>khevra</w:t>
      </w:r>
      <w:proofErr w:type="spellEnd"/>
      <w:r w:rsidRPr="002D5A8A">
        <w:rPr>
          <w:i/>
          <w:iCs/>
          <w:sz w:val="24"/>
          <w:szCs w:val="24"/>
        </w:rPr>
        <w:t xml:space="preserve"> be-</w:t>
      </w:r>
      <w:proofErr w:type="spellStart"/>
      <w:r w:rsidRPr="002D5A8A">
        <w:rPr>
          <w:i/>
          <w:iCs/>
          <w:sz w:val="24"/>
          <w:szCs w:val="24"/>
        </w:rPr>
        <w:t>Yisrael</w:t>
      </w:r>
      <w:proofErr w:type="spellEnd"/>
      <w:r w:rsidRPr="002D5A8A">
        <w:rPr>
          <w:i/>
          <w:iCs/>
          <w:sz w:val="24"/>
          <w:szCs w:val="24"/>
        </w:rPr>
        <w:t xml:space="preserve">, </w:t>
      </w:r>
      <w:proofErr w:type="spellStart"/>
      <w:r w:rsidRPr="002D5A8A">
        <w:rPr>
          <w:i/>
          <w:iCs/>
          <w:sz w:val="24"/>
          <w:szCs w:val="24"/>
        </w:rPr>
        <w:t>Dokh</w:t>
      </w:r>
      <w:proofErr w:type="spellEnd"/>
      <w:r w:rsidRPr="002D5A8A">
        <w:rPr>
          <w:i/>
          <w:iCs/>
          <w:sz w:val="24"/>
          <w:szCs w:val="24"/>
        </w:rPr>
        <w:t xml:space="preserve"> </w:t>
      </w:r>
      <w:proofErr w:type="spellStart"/>
      <w:r w:rsidRPr="002D5A8A">
        <w:rPr>
          <w:i/>
          <w:iCs/>
          <w:sz w:val="24"/>
          <w:szCs w:val="24"/>
        </w:rPr>
        <w:t>Mispar</w:t>
      </w:r>
      <w:proofErr w:type="spellEnd"/>
      <w:r w:rsidRPr="002D5A8A">
        <w:rPr>
          <w:i/>
          <w:iCs/>
          <w:sz w:val="24"/>
          <w:szCs w:val="24"/>
        </w:rPr>
        <w:t xml:space="preserve"> </w:t>
      </w:r>
      <w:r>
        <w:rPr>
          <w:i/>
          <w:iCs/>
          <w:sz w:val="24"/>
          <w:szCs w:val="24"/>
        </w:rPr>
        <w:t>11</w:t>
      </w:r>
      <w:r w:rsidRPr="002D5A8A">
        <w:rPr>
          <w:i/>
          <w:iCs/>
          <w:sz w:val="24"/>
          <w:szCs w:val="24"/>
        </w:rPr>
        <w:t xml:space="preserve"> [Society in Israel, Report No. </w:t>
      </w:r>
      <w:r>
        <w:rPr>
          <w:i/>
          <w:iCs/>
          <w:sz w:val="24"/>
          <w:szCs w:val="24"/>
        </w:rPr>
        <w:t>11</w:t>
      </w:r>
      <w:r w:rsidRPr="002D5A8A">
        <w:rPr>
          <w:i/>
          <w:iCs/>
          <w:sz w:val="24"/>
          <w:szCs w:val="24"/>
        </w:rPr>
        <w:t>]</w:t>
      </w:r>
      <w:r w:rsidRPr="00BA112D">
        <w:rPr>
          <w:sz w:val="24"/>
          <w:szCs w:val="24"/>
        </w:rPr>
        <w:t>. Jerusalem: Author (Hebrew).</w:t>
      </w:r>
    </w:p>
    <w:p w14:paraId="285B63A0" w14:textId="77777777" w:rsidR="000F15BA" w:rsidRPr="00BA112D" w:rsidRDefault="000F15BA" w:rsidP="000F15BA">
      <w:pPr>
        <w:pStyle w:val="biblio"/>
        <w:rPr>
          <w:sz w:val="24"/>
          <w:szCs w:val="24"/>
        </w:rPr>
      </w:pPr>
      <w:r w:rsidRPr="00540511">
        <w:rPr>
          <w:sz w:val="24"/>
          <w:szCs w:val="24"/>
        </w:rPr>
        <w:t>Central Bureau of Statistics. (2019).</w:t>
      </w:r>
      <w:r w:rsidRPr="00BA112D">
        <w:rPr>
          <w:sz w:val="24"/>
          <w:szCs w:val="24"/>
        </w:rPr>
        <w:t xml:space="preserve"> </w:t>
      </w:r>
      <w:r w:rsidRPr="002D5A8A">
        <w:rPr>
          <w:i/>
          <w:iCs/>
          <w:sz w:val="24"/>
          <w:szCs w:val="24"/>
        </w:rPr>
        <w:t xml:space="preserve">Peripherality Index of </w:t>
      </w:r>
      <w:r>
        <w:rPr>
          <w:i/>
          <w:iCs/>
          <w:sz w:val="24"/>
          <w:szCs w:val="24"/>
        </w:rPr>
        <w:t xml:space="preserve">localities and </w:t>
      </w:r>
      <w:r w:rsidRPr="002D5A8A">
        <w:rPr>
          <w:i/>
          <w:iCs/>
          <w:sz w:val="24"/>
          <w:szCs w:val="24"/>
        </w:rPr>
        <w:t>local authorities 20</w:t>
      </w:r>
      <w:r>
        <w:rPr>
          <w:i/>
          <w:iCs/>
          <w:sz w:val="24"/>
          <w:szCs w:val="24"/>
        </w:rPr>
        <w:t>15</w:t>
      </w:r>
      <w:r w:rsidRPr="00BA112D">
        <w:rPr>
          <w:sz w:val="24"/>
          <w:szCs w:val="24"/>
        </w:rPr>
        <w:t>. Pub</w:t>
      </w:r>
      <w:r>
        <w:rPr>
          <w:sz w:val="24"/>
          <w:szCs w:val="24"/>
        </w:rPr>
        <w:t>. No. 1732. Jerusalem: Author.</w:t>
      </w:r>
    </w:p>
    <w:p w14:paraId="5509C5CB" w14:textId="77777777" w:rsidR="00D2661A" w:rsidRPr="00BA112D" w:rsidRDefault="00D2661A" w:rsidP="000F15BA">
      <w:pPr>
        <w:pStyle w:val="biblio"/>
        <w:rPr>
          <w:sz w:val="24"/>
          <w:szCs w:val="24"/>
        </w:rPr>
      </w:pPr>
      <w:r w:rsidRPr="00540511">
        <w:rPr>
          <w:sz w:val="24"/>
          <w:szCs w:val="24"/>
        </w:rPr>
        <w:t>Central Bureau of Statistics. (20</w:t>
      </w:r>
      <w:r w:rsidR="000F15BA" w:rsidRPr="00540511">
        <w:rPr>
          <w:sz w:val="24"/>
          <w:szCs w:val="24"/>
        </w:rPr>
        <w:t>21</w:t>
      </w:r>
      <w:r w:rsidRPr="00540511">
        <w:rPr>
          <w:sz w:val="24"/>
          <w:szCs w:val="24"/>
        </w:rPr>
        <w:t xml:space="preserve">). </w:t>
      </w:r>
      <w:r w:rsidR="007E631B" w:rsidRPr="000F15BA">
        <w:rPr>
          <w:i/>
          <w:iCs/>
          <w:sz w:val="24"/>
          <w:szCs w:val="24"/>
        </w:rPr>
        <w:t>Index of c</w:t>
      </w:r>
      <w:r w:rsidRPr="000F15BA">
        <w:rPr>
          <w:i/>
          <w:iCs/>
          <w:sz w:val="24"/>
          <w:szCs w:val="24"/>
        </w:rPr>
        <w:t xml:space="preserve">ompactness of </w:t>
      </w:r>
      <w:r w:rsidR="007E631B" w:rsidRPr="000F15BA">
        <w:rPr>
          <w:i/>
          <w:iCs/>
          <w:sz w:val="24"/>
          <w:szCs w:val="24"/>
        </w:rPr>
        <w:t>municipalities and local counci</w:t>
      </w:r>
      <w:r w:rsidRPr="000F15BA">
        <w:rPr>
          <w:i/>
          <w:iCs/>
          <w:sz w:val="24"/>
          <w:szCs w:val="24"/>
        </w:rPr>
        <w:t>ls 20</w:t>
      </w:r>
      <w:r w:rsidR="000F15BA" w:rsidRPr="000F15BA">
        <w:rPr>
          <w:i/>
          <w:iCs/>
          <w:sz w:val="24"/>
          <w:szCs w:val="24"/>
        </w:rPr>
        <w:t>18</w:t>
      </w:r>
      <w:r w:rsidRPr="000F15BA">
        <w:rPr>
          <w:sz w:val="24"/>
          <w:szCs w:val="24"/>
        </w:rPr>
        <w:t>. Pub. No. 1</w:t>
      </w:r>
      <w:r w:rsidR="000F15BA" w:rsidRPr="000F15BA">
        <w:rPr>
          <w:sz w:val="24"/>
          <w:szCs w:val="24"/>
        </w:rPr>
        <w:t>803</w:t>
      </w:r>
      <w:r w:rsidRPr="000F15BA">
        <w:rPr>
          <w:sz w:val="24"/>
          <w:szCs w:val="24"/>
        </w:rPr>
        <w:t>. Jerusalem: Author.</w:t>
      </w:r>
    </w:p>
    <w:p w14:paraId="72F5E053" w14:textId="5F40FC68" w:rsidR="00F72DDF" w:rsidRDefault="00F72DDF" w:rsidP="00F62DF1">
      <w:pPr>
        <w:pStyle w:val="biblio"/>
        <w:rPr>
          <w:sz w:val="24"/>
          <w:szCs w:val="24"/>
        </w:rPr>
      </w:pPr>
      <w:r w:rsidRPr="00540511">
        <w:rPr>
          <w:sz w:val="24"/>
          <w:szCs w:val="24"/>
        </w:rPr>
        <w:t>Central Bureau of Statistics. (20</w:t>
      </w:r>
      <w:r w:rsidR="00F62DF1" w:rsidRPr="00540511">
        <w:rPr>
          <w:sz w:val="24"/>
          <w:szCs w:val="24"/>
        </w:rPr>
        <w:t>22</w:t>
      </w:r>
      <w:r w:rsidRPr="00540511">
        <w:rPr>
          <w:sz w:val="24"/>
          <w:szCs w:val="24"/>
        </w:rPr>
        <w:t>).</w:t>
      </w:r>
      <w:r w:rsidRPr="00BA112D">
        <w:rPr>
          <w:sz w:val="24"/>
          <w:szCs w:val="24"/>
        </w:rPr>
        <w:t xml:space="preserve"> </w:t>
      </w:r>
      <w:r w:rsidRPr="002D5A8A">
        <w:rPr>
          <w:i/>
          <w:iCs/>
          <w:sz w:val="24"/>
          <w:szCs w:val="24"/>
        </w:rPr>
        <w:t xml:space="preserve">File </w:t>
      </w:r>
      <w:r w:rsidR="00A155D0" w:rsidRPr="002D5A8A">
        <w:rPr>
          <w:i/>
          <w:iCs/>
          <w:sz w:val="24"/>
          <w:szCs w:val="24"/>
        </w:rPr>
        <w:t>of localities, their population</w:t>
      </w:r>
      <w:r w:rsidRPr="002D5A8A">
        <w:rPr>
          <w:i/>
          <w:iCs/>
          <w:sz w:val="24"/>
          <w:szCs w:val="24"/>
        </w:rPr>
        <w:t>, and codes 20</w:t>
      </w:r>
      <w:r w:rsidR="00F62DF1">
        <w:rPr>
          <w:i/>
          <w:iCs/>
          <w:sz w:val="24"/>
          <w:szCs w:val="24"/>
        </w:rPr>
        <w:t>20</w:t>
      </w:r>
      <w:r w:rsidRPr="00BA112D">
        <w:rPr>
          <w:sz w:val="24"/>
          <w:szCs w:val="24"/>
        </w:rPr>
        <w:t xml:space="preserve">. </w:t>
      </w:r>
      <w:r w:rsidR="002373BC" w:rsidRPr="00BA112D">
        <w:rPr>
          <w:sz w:val="24"/>
          <w:szCs w:val="24"/>
        </w:rPr>
        <w:t>Retrieved from</w:t>
      </w:r>
      <w:r w:rsidR="00D6290A">
        <w:rPr>
          <w:sz w:val="24"/>
          <w:szCs w:val="24"/>
        </w:rPr>
        <w:t xml:space="preserve"> </w:t>
      </w:r>
      <w:r w:rsidR="00D6290A" w:rsidRPr="00533DCB">
        <w:rPr>
          <w:sz w:val="24"/>
          <w:szCs w:val="24"/>
        </w:rPr>
        <w:t>https://www.cbs.gov.il/he/publications/doclib/2019/ishuvim/bycode2020.xlsx</w:t>
      </w:r>
      <w:r w:rsidR="00D6290A" w:rsidRPr="00D6290A">
        <w:rPr>
          <w:sz w:val="24"/>
          <w:szCs w:val="24"/>
        </w:rPr>
        <w:t xml:space="preserve"> </w:t>
      </w:r>
      <w:r w:rsidRPr="00BA112D">
        <w:rPr>
          <w:sz w:val="24"/>
          <w:szCs w:val="24"/>
        </w:rPr>
        <w:t>(Hebrew)</w:t>
      </w:r>
    </w:p>
    <w:p w14:paraId="5DABB95A" w14:textId="7B30EE23" w:rsidR="00D2661A" w:rsidRPr="00BA112D" w:rsidRDefault="00D2661A" w:rsidP="000F15BA">
      <w:pPr>
        <w:pStyle w:val="biblio"/>
        <w:rPr>
          <w:sz w:val="24"/>
          <w:szCs w:val="24"/>
        </w:rPr>
      </w:pPr>
      <w:r w:rsidRPr="00540511">
        <w:rPr>
          <w:sz w:val="24"/>
          <w:szCs w:val="24"/>
        </w:rPr>
        <w:t>Central Bureau of Statistics. (20</w:t>
      </w:r>
      <w:r w:rsidR="000F15BA" w:rsidRPr="00540511">
        <w:rPr>
          <w:sz w:val="24"/>
          <w:szCs w:val="24"/>
        </w:rPr>
        <w:t>23</w:t>
      </w:r>
      <w:r w:rsidRPr="00540511">
        <w:rPr>
          <w:sz w:val="24"/>
          <w:szCs w:val="24"/>
        </w:rPr>
        <w:t>).</w:t>
      </w:r>
      <w:r w:rsidRPr="00BA112D">
        <w:rPr>
          <w:sz w:val="24"/>
          <w:szCs w:val="24"/>
        </w:rPr>
        <w:t xml:space="preserve"> </w:t>
      </w:r>
      <w:r w:rsidRPr="002D5A8A">
        <w:rPr>
          <w:i/>
          <w:iCs/>
          <w:sz w:val="24"/>
          <w:szCs w:val="24"/>
        </w:rPr>
        <w:t xml:space="preserve">Classification and characterization of </w:t>
      </w:r>
      <w:r w:rsidRPr="00E0763F">
        <w:rPr>
          <w:i/>
          <w:iCs/>
          <w:sz w:val="24"/>
          <w:szCs w:val="24"/>
        </w:rPr>
        <w:t>geographical units by the socio-economic level of the population 20</w:t>
      </w:r>
      <w:r w:rsidR="000F15BA" w:rsidRPr="00E0763F">
        <w:rPr>
          <w:i/>
          <w:iCs/>
          <w:sz w:val="24"/>
          <w:szCs w:val="24"/>
        </w:rPr>
        <w:t>19</w:t>
      </w:r>
      <w:r w:rsidRPr="00E0763F">
        <w:rPr>
          <w:sz w:val="24"/>
          <w:szCs w:val="24"/>
        </w:rPr>
        <w:t xml:space="preserve">. Pub. No. </w:t>
      </w:r>
      <w:r w:rsidR="00E0763F" w:rsidRPr="00E0763F">
        <w:rPr>
          <w:sz w:val="24"/>
          <w:szCs w:val="24"/>
        </w:rPr>
        <w:t>1903</w:t>
      </w:r>
      <w:r w:rsidRPr="00E0763F">
        <w:rPr>
          <w:sz w:val="24"/>
          <w:szCs w:val="24"/>
        </w:rPr>
        <w:t>.</w:t>
      </w:r>
      <w:r w:rsidRPr="00BA112D">
        <w:rPr>
          <w:sz w:val="24"/>
          <w:szCs w:val="24"/>
        </w:rPr>
        <w:t xml:space="preserve"> Jerusalem: Author.</w:t>
      </w:r>
    </w:p>
    <w:p w14:paraId="1FF28C70" w14:textId="261A0466" w:rsidR="00D2661A" w:rsidRPr="00E849B1" w:rsidRDefault="0004118A" w:rsidP="00533DCB">
      <w:pPr>
        <w:pStyle w:val="biblio"/>
        <w:rPr>
          <w:sz w:val="24"/>
          <w:szCs w:val="24"/>
        </w:rPr>
      </w:pPr>
      <w:proofErr w:type="spellStart"/>
      <w:r w:rsidRPr="00BA112D">
        <w:rPr>
          <w:sz w:val="24"/>
          <w:szCs w:val="24"/>
        </w:rPr>
        <w:t>Copus</w:t>
      </w:r>
      <w:proofErr w:type="spellEnd"/>
      <w:r w:rsidRPr="00BA112D">
        <w:rPr>
          <w:sz w:val="24"/>
          <w:szCs w:val="24"/>
        </w:rPr>
        <w:t>, A. K. (1999</w:t>
      </w:r>
      <w:r w:rsidR="00D2661A" w:rsidRPr="00BA112D">
        <w:rPr>
          <w:sz w:val="24"/>
          <w:szCs w:val="24"/>
        </w:rPr>
        <w:t xml:space="preserve">). </w:t>
      </w:r>
      <w:r w:rsidR="00D2661A" w:rsidRPr="002D5A8A">
        <w:rPr>
          <w:i/>
          <w:iCs/>
          <w:sz w:val="24"/>
          <w:szCs w:val="24"/>
        </w:rPr>
        <w:t>A new peripherality index for the NUTS III regions of the European Union</w:t>
      </w:r>
      <w:r w:rsidR="00D2661A" w:rsidRPr="00BA112D">
        <w:rPr>
          <w:sz w:val="24"/>
          <w:szCs w:val="24"/>
        </w:rPr>
        <w:t>. Report for the European Commission, Directorate General XVI.A.4 (Regional Policy and Cohesion). Rural Policy Group, Scottish Agricultural College (</w:t>
      </w:r>
      <w:r w:rsidR="002373BC" w:rsidRPr="00BA112D">
        <w:rPr>
          <w:sz w:val="24"/>
          <w:szCs w:val="24"/>
        </w:rPr>
        <w:t xml:space="preserve">SAC), Aberdeen. </w:t>
      </w:r>
    </w:p>
    <w:p w14:paraId="370256E4" w14:textId="0F1E7275" w:rsidR="002C6A44" w:rsidRPr="00BA112D" w:rsidRDefault="002C6A44" w:rsidP="007D064C">
      <w:pPr>
        <w:pStyle w:val="biblio"/>
        <w:pageBreakBefore/>
        <w:rPr>
          <w:sz w:val="24"/>
          <w:szCs w:val="24"/>
        </w:rPr>
      </w:pPr>
      <w:proofErr w:type="spellStart"/>
      <w:r w:rsidRPr="00BA112D">
        <w:rPr>
          <w:sz w:val="24"/>
          <w:szCs w:val="24"/>
        </w:rPr>
        <w:lastRenderedPageBreak/>
        <w:t>Erkut</w:t>
      </w:r>
      <w:proofErr w:type="spellEnd"/>
      <w:r w:rsidRPr="00BA112D">
        <w:rPr>
          <w:sz w:val="24"/>
          <w:szCs w:val="24"/>
        </w:rPr>
        <w:t>, G.</w:t>
      </w:r>
      <w:r w:rsidR="003E1006" w:rsidRPr="00BA112D">
        <w:rPr>
          <w:sz w:val="24"/>
          <w:szCs w:val="24"/>
        </w:rPr>
        <w:t>,</w:t>
      </w:r>
      <w:r w:rsidRPr="00BA112D">
        <w:rPr>
          <w:sz w:val="24"/>
          <w:szCs w:val="24"/>
        </w:rPr>
        <w:t xml:space="preserve"> </w:t>
      </w:r>
      <w:r w:rsidR="00E26AA9" w:rsidRPr="00BA112D">
        <w:rPr>
          <w:sz w:val="24"/>
          <w:szCs w:val="24"/>
        </w:rPr>
        <w:t>&amp;</w:t>
      </w:r>
      <w:r w:rsidRPr="00BA112D">
        <w:rPr>
          <w:sz w:val="24"/>
          <w:szCs w:val="24"/>
        </w:rPr>
        <w:t xml:space="preserve"> </w:t>
      </w:r>
      <w:proofErr w:type="spellStart"/>
      <w:r w:rsidRPr="00BA112D">
        <w:rPr>
          <w:sz w:val="24"/>
          <w:szCs w:val="24"/>
        </w:rPr>
        <w:t>Özgen</w:t>
      </w:r>
      <w:proofErr w:type="spellEnd"/>
      <w:r w:rsidRPr="00BA112D">
        <w:rPr>
          <w:sz w:val="24"/>
          <w:szCs w:val="24"/>
        </w:rPr>
        <w:t>, C. (2003</w:t>
      </w:r>
      <w:r w:rsidR="00BF232C" w:rsidRPr="00BA112D">
        <w:rPr>
          <w:sz w:val="24"/>
          <w:szCs w:val="24"/>
        </w:rPr>
        <w:t>, August</w:t>
      </w:r>
      <w:r w:rsidRPr="00BA112D">
        <w:rPr>
          <w:sz w:val="24"/>
          <w:szCs w:val="24"/>
        </w:rPr>
        <w:t xml:space="preserve">). </w:t>
      </w:r>
      <w:r w:rsidRPr="002D5A8A">
        <w:rPr>
          <w:i/>
          <w:iCs/>
          <w:sz w:val="24"/>
          <w:szCs w:val="24"/>
        </w:rPr>
        <w:t xml:space="preserve">The </w:t>
      </w:r>
      <w:r w:rsidR="00E26AA9" w:rsidRPr="002D5A8A">
        <w:rPr>
          <w:i/>
          <w:iCs/>
          <w:sz w:val="24"/>
          <w:szCs w:val="24"/>
        </w:rPr>
        <w:t xml:space="preserve">economic and spatial peripherality of border regions in </w:t>
      </w:r>
      <w:proofErr w:type="spellStart"/>
      <w:r w:rsidR="00E26AA9" w:rsidRPr="002D5A8A">
        <w:rPr>
          <w:i/>
          <w:iCs/>
          <w:sz w:val="24"/>
          <w:szCs w:val="24"/>
        </w:rPr>
        <w:t>southeaster</w:t>
      </w:r>
      <w:r w:rsidRPr="002D5A8A">
        <w:rPr>
          <w:i/>
          <w:iCs/>
          <w:sz w:val="24"/>
          <w:szCs w:val="24"/>
        </w:rPr>
        <w:t>n</w:t>
      </w:r>
      <w:proofErr w:type="spellEnd"/>
      <w:r w:rsidRPr="002D5A8A">
        <w:rPr>
          <w:i/>
          <w:iCs/>
          <w:sz w:val="24"/>
          <w:szCs w:val="24"/>
        </w:rPr>
        <w:t xml:space="preserve"> Europe</w:t>
      </w:r>
      <w:r w:rsidRPr="00BA112D">
        <w:rPr>
          <w:sz w:val="24"/>
          <w:szCs w:val="24"/>
        </w:rPr>
        <w:t xml:space="preserve">. Paper presented at the 43rd European Congress of the Regional Science Association (ERSA). </w:t>
      </w:r>
      <w:proofErr w:type="spellStart"/>
      <w:r w:rsidRPr="00BA112D">
        <w:rPr>
          <w:sz w:val="24"/>
          <w:szCs w:val="24"/>
        </w:rPr>
        <w:t>Jyvä</w:t>
      </w:r>
      <w:r w:rsidR="00134E40" w:rsidRPr="00BA112D">
        <w:rPr>
          <w:sz w:val="24"/>
          <w:szCs w:val="24"/>
        </w:rPr>
        <w:t>skylä</w:t>
      </w:r>
      <w:proofErr w:type="spellEnd"/>
      <w:r w:rsidR="00134E40" w:rsidRPr="00BA112D">
        <w:rPr>
          <w:sz w:val="24"/>
          <w:szCs w:val="24"/>
        </w:rPr>
        <w:t xml:space="preserve">, Finland. </w:t>
      </w:r>
    </w:p>
    <w:p w14:paraId="6FCC3720" w14:textId="77777777" w:rsidR="002C6A44" w:rsidRPr="00BA112D" w:rsidRDefault="002C6A44" w:rsidP="007E631B">
      <w:pPr>
        <w:pStyle w:val="biblio"/>
        <w:rPr>
          <w:sz w:val="24"/>
          <w:szCs w:val="24"/>
        </w:rPr>
      </w:pPr>
      <w:r w:rsidRPr="00BA112D">
        <w:rPr>
          <w:sz w:val="24"/>
          <w:szCs w:val="24"/>
        </w:rPr>
        <w:t>Frost, M.</w:t>
      </w:r>
      <w:r w:rsidR="00134E40" w:rsidRPr="00BA112D">
        <w:rPr>
          <w:sz w:val="24"/>
          <w:szCs w:val="24"/>
        </w:rPr>
        <w:t xml:space="preserve"> </w:t>
      </w:r>
      <w:r w:rsidRPr="00BA112D">
        <w:rPr>
          <w:sz w:val="24"/>
          <w:szCs w:val="24"/>
        </w:rPr>
        <w:t>E.</w:t>
      </w:r>
      <w:r w:rsidR="003E1006" w:rsidRPr="00BA112D">
        <w:rPr>
          <w:sz w:val="24"/>
          <w:szCs w:val="24"/>
        </w:rPr>
        <w:t>,</w:t>
      </w:r>
      <w:r w:rsidRPr="00BA112D">
        <w:rPr>
          <w:sz w:val="24"/>
          <w:szCs w:val="24"/>
        </w:rPr>
        <w:t xml:space="preserve"> </w:t>
      </w:r>
      <w:r w:rsidR="00134E40" w:rsidRPr="00BA112D">
        <w:rPr>
          <w:sz w:val="24"/>
          <w:szCs w:val="24"/>
        </w:rPr>
        <w:t>&amp;</w:t>
      </w:r>
      <w:r w:rsidRPr="00BA112D">
        <w:rPr>
          <w:sz w:val="24"/>
          <w:szCs w:val="24"/>
        </w:rPr>
        <w:t xml:space="preserve"> Spence, N.</w:t>
      </w:r>
      <w:r w:rsidR="00134E40" w:rsidRPr="00BA112D">
        <w:rPr>
          <w:sz w:val="24"/>
          <w:szCs w:val="24"/>
        </w:rPr>
        <w:t xml:space="preserve"> </w:t>
      </w:r>
      <w:r w:rsidRPr="00BA112D">
        <w:rPr>
          <w:sz w:val="24"/>
          <w:szCs w:val="24"/>
        </w:rPr>
        <w:t xml:space="preserve">A. (1995). The </w:t>
      </w:r>
      <w:r w:rsidR="00134E40" w:rsidRPr="00BA112D">
        <w:rPr>
          <w:sz w:val="24"/>
          <w:szCs w:val="24"/>
        </w:rPr>
        <w:t>rediscovery of accessibility and economic potentia</w:t>
      </w:r>
      <w:r w:rsidRPr="00BA112D">
        <w:rPr>
          <w:sz w:val="24"/>
          <w:szCs w:val="24"/>
        </w:rPr>
        <w:t xml:space="preserve">l: The </w:t>
      </w:r>
      <w:r w:rsidR="00134E40" w:rsidRPr="00BA112D">
        <w:rPr>
          <w:sz w:val="24"/>
          <w:szCs w:val="24"/>
        </w:rPr>
        <w:t>critical issue of self-p</w:t>
      </w:r>
      <w:r w:rsidRPr="00BA112D">
        <w:rPr>
          <w:sz w:val="24"/>
          <w:szCs w:val="24"/>
        </w:rPr>
        <w:t xml:space="preserve">otential. </w:t>
      </w:r>
      <w:r w:rsidRPr="002D5A8A">
        <w:rPr>
          <w:i/>
          <w:iCs/>
          <w:sz w:val="24"/>
          <w:szCs w:val="24"/>
        </w:rPr>
        <w:t>Envi</w:t>
      </w:r>
      <w:r w:rsidR="00134E40" w:rsidRPr="002D5A8A">
        <w:rPr>
          <w:i/>
          <w:iCs/>
          <w:sz w:val="24"/>
          <w:szCs w:val="24"/>
        </w:rPr>
        <w:t>ronment and Planning A</w:t>
      </w:r>
      <w:r w:rsidR="008319E6" w:rsidRPr="002D5A8A">
        <w:rPr>
          <w:i/>
          <w:iCs/>
          <w:sz w:val="24"/>
          <w:szCs w:val="24"/>
        </w:rPr>
        <w:t>,</w:t>
      </w:r>
      <w:r w:rsidR="00134E40" w:rsidRPr="002D5A8A">
        <w:rPr>
          <w:i/>
          <w:iCs/>
          <w:sz w:val="24"/>
          <w:szCs w:val="24"/>
        </w:rPr>
        <w:t xml:space="preserve"> 27</w:t>
      </w:r>
      <w:r w:rsidR="00134E40" w:rsidRPr="00BA112D">
        <w:rPr>
          <w:sz w:val="24"/>
          <w:szCs w:val="24"/>
        </w:rPr>
        <w:t>, 1833–</w:t>
      </w:r>
      <w:r w:rsidRPr="00BA112D">
        <w:rPr>
          <w:sz w:val="24"/>
          <w:szCs w:val="24"/>
        </w:rPr>
        <w:t>1848.</w:t>
      </w:r>
    </w:p>
    <w:p w14:paraId="086BBFB6" w14:textId="598879C7" w:rsidR="00533DCB" w:rsidRDefault="002C6A44" w:rsidP="00533DCB">
      <w:pPr>
        <w:pStyle w:val="biblio"/>
        <w:rPr>
          <w:sz w:val="24"/>
          <w:szCs w:val="24"/>
        </w:rPr>
      </w:pPr>
      <w:proofErr w:type="spellStart"/>
      <w:r w:rsidRPr="00BA112D">
        <w:rPr>
          <w:sz w:val="24"/>
          <w:szCs w:val="24"/>
        </w:rPr>
        <w:t>Fürst</w:t>
      </w:r>
      <w:proofErr w:type="spellEnd"/>
      <w:r w:rsidRPr="00BA112D">
        <w:rPr>
          <w:sz w:val="24"/>
          <w:szCs w:val="24"/>
        </w:rPr>
        <w:t xml:space="preserve">, F., Hackl, R., Holl, A., </w:t>
      </w:r>
      <w:proofErr w:type="spellStart"/>
      <w:r w:rsidRPr="00BA112D">
        <w:rPr>
          <w:sz w:val="24"/>
          <w:szCs w:val="24"/>
        </w:rPr>
        <w:t>Kramar</w:t>
      </w:r>
      <w:proofErr w:type="spellEnd"/>
      <w:r w:rsidRPr="00BA112D">
        <w:rPr>
          <w:sz w:val="24"/>
          <w:szCs w:val="24"/>
        </w:rPr>
        <w:t xml:space="preserve">, H., </w:t>
      </w:r>
      <w:proofErr w:type="spellStart"/>
      <w:r w:rsidRPr="00BA112D">
        <w:rPr>
          <w:sz w:val="24"/>
          <w:szCs w:val="24"/>
        </w:rPr>
        <w:t>Schürmann</w:t>
      </w:r>
      <w:proofErr w:type="spellEnd"/>
      <w:r w:rsidRPr="00BA112D">
        <w:rPr>
          <w:sz w:val="24"/>
          <w:szCs w:val="24"/>
        </w:rPr>
        <w:t xml:space="preserve">, C., </w:t>
      </w:r>
      <w:proofErr w:type="spellStart"/>
      <w:r w:rsidRPr="00BA112D">
        <w:rPr>
          <w:sz w:val="24"/>
          <w:szCs w:val="24"/>
        </w:rPr>
        <w:t>Spiekermann</w:t>
      </w:r>
      <w:proofErr w:type="spellEnd"/>
      <w:r w:rsidRPr="00BA112D">
        <w:rPr>
          <w:sz w:val="24"/>
          <w:szCs w:val="24"/>
        </w:rPr>
        <w:t>, K.</w:t>
      </w:r>
      <w:r w:rsidR="00BF232C" w:rsidRPr="00BA112D">
        <w:rPr>
          <w:sz w:val="24"/>
          <w:szCs w:val="24"/>
        </w:rPr>
        <w:t>,</w:t>
      </w:r>
      <w:r w:rsidRPr="00BA112D">
        <w:rPr>
          <w:sz w:val="24"/>
          <w:szCs w:val="24"/>
        </w:rPr>
        <w:t xml:space="preserve"> </w:t>
      </w:r>
      <w:r w:rsidR="00AA0386" w:rsidRPr="00BA112D">
        <w:rPr>
          <w:sz w:val="24"/>
          <w:szCs w:val="24"/>
        </w:rPr>
        <w:t>&amp;</w:t>
      </w:r>
      <w:r w:rsidRPr="00BA112D">
        <w:rPr>
          <w:sz w:val="24"/>
          <w:szCs w:val="24"/>
        </w:rPr>
        <w:t xml:space="preserve"> Wegener, M. (1999). </w:t>
      </w:r>
      <w:r w:rsidR="00BF232C" w:rsidRPr="002D5A8A">
        <w:rPr>
          <w:i/>
          <w:iCs/>
          <w:sz w:val="24"/>
          <w:szCs w:val="24"/>
        </w:rPr>
        <w:t>The SASI model: Model i</w:t>
      </w:r>
      <w:r w:rsidRPr="002D5A8A">
        <w:rPr>
          <w:i/>
          <w:iCs/>
          <w:sz w:val="24"/>
          <w:szCs w:val="24"/>
        </w:rPr>
        <w:t>mplementation</w:t>
      </w:r>
      <w:r w:rsidRPr="00BA112D">
        <w:rPr>
          <w:sz w:val="24"/>
          <w:szCs w:val="24"/>
        </w:rPr>
        <w:t xml:space="preserve">. SASI Deliverable D11. </w:t>
      </w:r>
      <w:proofErr w:type="spellStart"/>
      <w:r w:rsidRPr="00BA112D">
        <w:rPr>
          <w:sz w:val="24"/>
          <w:szCs w:val="24"/>
        </w:rPr>
        <w:t>Institut</w:t>
      </w:r>
      <w:proofErr w:type="spellEnd"/>
      <w:r w:rsidRPr="00BA112D">
        <w:rPr>
          <w:sz w:val="24"/>
          <w:szCs w:val="24"/>
        </w:rPr>
        <w:t xml:space="preserve"> </w:t>
      </w:r>
      <w:proofErr w:type="spellStart"/>
      <w:r w:rsidRPr="00BA112D">
        <w:rPr>
          <w:sz w:val="24"/>
          <w:szCs w:val="24"/>
        </w:rPr>
        <w:t>für</w:t>
      </w:r>
      <w:proofErr w:type="spellEnd"/>
      <w:r w:rsidRPr="00BA112D">
        <w:rPr>
          <w:sz w:val="24"/>
          <w:szCs w:val="24"/>
        </w:rPr>
        <w:t xml:space="preserve"> </w:t>
      </w:r>
      <w:proofErr w:type="spellStart"/>
      <w:r w:rsidRPr="00BA112D">
        <w:rPr>
          <w:sz w:val="24"/>
          <w:szCs w:val="24"/>
        </w:rPr>
        <w:t>Raumplanung</w:t>
      </w:r>
      <w:proofErr w:type="spellEnd"/>
      <w:r w:rsidR="00DE73FC" w:rsidRPr="00BA112D">
        <w:rPr>
          <w:sz w:val="24"/>
          <w:szCs w:val="24"/>
        </w:rPr>
        <w:t xml:space="preserve"> (Institute for Spatial Planning)</w:t>
      </w:r>
      <w:r w:rsidRPr="00BA112D">
        <w:rPr>
          <w:sz w:val="24"/>
          <w:szCs w:val="24"/>
        </w:rPr>
        <w:t xml:space="preserve">, Universität </w:t>
      </w:r>
      <w:r w:rsidR="00AA0386" w:rsidRPr="00BA112D">
        <w:rPr>
          <w:sz w:val="24"/>
          <w:szCs w:val="24"/>
        </w:rPr>
        <w:t>Dortmund</w:t>
      </w:r>
      <w:r w:rsidR="00DE73FC" w:rsidRPr="00BA112D">
        <w:rPr>
          <w:sz w:val="24"/>
          <w:szCs w:val="24"/>
        </w:rPr>
        <w:t>, Germany</w:t>
      </w:r>
      <w:r w:rsidR="00AA0386" w:rsidRPr="00BA112D">
        <w:rPr>
          <w:sz w:val="24"/>
          <w:szCs w:val="24"/>
        </w:rPr>
        <w:t xml:space="preserve">: IRPUD. </w:t>
      </w:r>
    </w:p>
    <w:p w14:paraId="28A670FA" w14:textId="63B49ECF" w:rsidR="002C6A44" w:rsidRPr="00BA112D" w:rsidRDefault="002C6A44" w:rsidP="00533DCB">
      <w:pPr>
        <w:pStyle w:val="biblio"/>
        <w:rPr>
          <w:sz w:val="24"/>
          <w:szCs w:val="24"/>
        </w:rPr>
      </w:pPr>
      <w:r w:rsidRPr="00BA112D">
        <w:rPr>
          <w:sz w:val="24"/>
          <w:szCs w:val="24"/>
        </w:rPr>
        <w:t>Hansen, W.</w:t>
      </w:r>
      <w:r w:rsidR="00AA0386" w:rsidRPr="00BA112D">
        <w:rPr>
          <w:sz w:val="24"/>
          <w:szCs w:val="24"/>
        </w:rPr>
        <w:t xml:space="preserve"> </w:t>
      </w:r>
      <w:r w:rsidRPr="00BA112D">
        <w:rPr>
          <w:sz w:val="24"/>
          <w:szCs w:val="24"/>
        </w:rPr>
        <w:t xml:space="preserve">G. (1959). How </w:t>
      </w:r>
      <w:r w:rsidR="00AA0386" w:rsidRPr="00BA112D">
        <w:rPr>
          <w:sz w:val="24"/>
          <w:szCs w:val="24"/>
        </w:rPr>
        <w:t>accessibility shapes land-u</w:t>
      </w:r>
      <w:r w:rsidRPr="00BA112D">
        <w:rPr>
          <w:sz w:val="24"/>
          <w:szCs w:val="24"/>
        </w:rPr>
        <w:t xml:space="preserve">se. Journal of the American </w:t>
      </w:r>
      <w:r w:rsidRPr="002D5A8A">
        <w:rPr>
          <w:i/>
          <w:iCs/>
          <w:sz w:val="24"/>
          <w:szCs w:val="24"/>
        </w:rPr>
        <w:t>Institute of Planners</w:t>
      </w:r>
      <w:r w:rsidR="008319E6" w:rsidRPr="002D5A8A">
        <w:rPr>
          <w:i/>
          <w:iCs/>
          <w:sz w:val="24"/>
          <w:szCs w:val="24"/>
        </w:rPr>
        <w:t>,</w:t>
      </w:r>
      <w:r w:rsidRPr="002D5A8A">
        <w:rPr>
          <w:i/>
          <w:iCs/>
          <w:sz w:val="24"/>
          <w:szCs w:val="24"/>
        </w:rPr>
        <w:t xml:space="preserve"> 25</w:t>
      </w:r>
      <w:r w:rsidR="00AA0386" w:rsidRPr="00BA112D">
        <w:rPr>
          <w:sz w:val="24"/>
          <w:szCs w:val="24"/>
        </w:rPr>
        <w:t>, 73–</w:t>
      </w:r>
      <w:r w:rsidRPr="00BA112D">
        <w:rPr>
          <w:sz w:val="24"/>
          <w:szCs w:val="24"/>
        </w:rPr>
        <w:t>76.</w:t>
      </w:r>
    </w:p>
    <w:p w14:paraId="1448E1B8" w14:textId="017457F6" w:rsidR="002C6A44" w:rsidRPr="00A34507" w:rsidRDefault="002C6A44" w:rsidP="007E631B">
      <w:pPr>
        <w:pStyle w:val="biblio"/>
        <w:rPr>
          <w:sz w:val="24"/>
          <w:szCs w:val="24"/>
          <w:rtl/>
        </w:rPr>
      </w:pPr>
      <w:r w:rsidRPr="00BA112D">
        <w:rPr>
          <w:sz w:val="24"/>
          <w:szCs w:val="24"/>
        </w:rPr>
        <w:t>Hugo Centre for Migratio</w:t>
      </w:r>
      <w:r w:rsidR="003E1006" w:rsidRPr="00BA112D">
        <w:rPr>
          <w:sz w:val="24"/>
          <w:szCs w:val="24"/>
        </w:rPr>
        <w:t>n and Population Research (2001</w:t>
      </w:r>
      <w:r w:rsidR="003E1006" w:rsidRPr="00BA112D">
        <w:rPr>
          <w:sz w:val="24"/>
          <w:szCs w:val="24"/>
        </w:rPr>
        <w:softHyphen/>
        <w:t>–</w:t>
      </w:r>
      <w:r w:rsidRPr="00BA112D">
        <w:rPr>
          <w:sz w:val="24"/>
          <w:szCs w:val="24"/>
        </w:rPr>
        <w:t xml:space="preserve">2016). </w:t>
      </w:r>
      <w:r w:rsidRPr="002D5A8A">
        <w:rPr>
          <w:i/>
          <w:iCs/>
          <w:sz w:val="24"/>
          <w:szCs w:val="24"/>
        </w:rPr>
        <w:t>The Accessibility/Remoteness Index of A</w:t>
      </w:r>
      <w:r w:rsidR="00AA0386" w:rsidRPr="002D5A8A">
        <w:rPr>
          <w:i/>
          <w:iCs/>
          <w:sz w:val="24"/>
          <w:szCs w:val="24"/>
        </w:rPr>
        <w:t>ustralia (ARIA)</w:t>
      </w:r>
      <w:r w:rsidR="00AA0386" w:rsidRPr="00BA112D">
        <w:rPr>
          <w:sz w:val="24"/>
          <w:szCs w:val="24"/>
        </w:rPr>
        <w:t xml:space="preserve">. </w:t>
      </w:r>
    </w:p>
    <w:p w14:paraId="4B07FA7A" w14:textId="77777777" w:rsidR="002C6A44" w:rsidRPr="00BA112D" w:rsidRDefault="002C6A44" w:rsidP="007E631B">
      <w:pPr>
        <w:pStyle w:val="biblio"/>
        <w:rPr>
          <w:sz w:val="24"/>
          <w:szCs w:val="24"/>
        </w:rPr>
      </w:pPr>
      <w:r w:rsidRPr="00BA112D">
        <w:rPr>
          <w:sz w:val="24"/>
          <w:szCs w:val="24"/>
        </w:rPr>
        <w:t>Keeble, D., Owens, P.</w:t>
      </w:r>
      <w:r w:rsidR="00AA0386" w:rsidRPr="00BA112D">
        <w:rPr>
          <w:sz w:val="24"/>
          <w:szCs w:val="24"/>
        </w:rPr>
        <w:t xml:space="preserve"> </w:t>
      </w:r>
      <w:r w:rsidRPr="00BA112D">
        <w:rPr>
          <w:sz w:val="24"/>
          <w:szCs w:val="24"/>
        </w:rPr>
        <w:t>L.</w:t>
      </w:r>
      <w:r w:rsidR="003E1006" w:rsidRPr="00BA112D">
        <w:rPr>
          <w:sz w:val="24"/>
          <w:szCs w:val="24"/>
        </w:rPr>
        <w:t>,</w:t>
      </w:r>
      <w:r w:rsidRPr="00BA112D">
        <w:rPr>
          <w:sz w:val="24"/>
          <w:szCs w:val="24"/>
        </w:rPr>
        <w:t xml:space="preserve"> </w:t>
      </w:r>
      <w:r w:rsidR="00AA0386" w:rsidRPr="00BA112D">
        <w:rPr>
          <w:sz w:val="24"/>
          <w:szCs w:val="24"/>
        </w:rPr>
        <w:t>&amp;</w:t>
      </w:r>
      <w:r w:rsidRPr="00BA112D">
        <w:rPr>
          <w:sz w:val="24"/>
          <w:szCs w:val="24"/>
        </w:rPr>
        <w:t xml:space="preserve"> Thompson, C. (1982). Regional</w:t>
      </w:r>
      <w:r w:rsidR="003E1006" w:rsidRPr="00BA112D">
        <w:rPr>
          <w:sz w:val="24"/>
          <w:szCs w:val="24"/>
        </w:rPr>
        <w:t xml:space="preserve"> accessibility and economic pot</w:t>
      </w:r>
      <w:r w:rsidRPr="00BA112D">
        <w:rPr>
          <w:sz w:val="24"/>
          <w:szCs w:val="24"/>
        </w:rPr>
        <w:t xml:space="preserve">ential in the European Community. </w:t>
      </w:r>
      <w:r w:rsidRPr="002D5A8A">
        <w:rPr>
          <w:i/>
          <w:iCs/>
          <w:sz w:val="24"/>
          <w:szCs w:val="24"/>
        </w:rPr>
        <w:t>Regional Studies</w:t>
      </w:r>
      <w:r w:rsidR="008319E6" w:rsidRPr="002D5A8A">
        <w:rPr>
          <w:i/>
          <w:iCs/>
          <w:sz w:val="24"/>
          <w:szCs w:val="24"/>
        </w:rPr>
        <w:t>,</w:t>
      </w:r>
      <w:r w:rsidRPr="002D5A8A">
        <w:rPr>
          <w:i/>
          <w:iCs/>
          <w:sz w:val="24"/>
          <w:szCs w:val="24"/>
        </w:rPr>
        <w:t xml:space="preserve"> 16</w:t>
      </w:r>
      <w:r w:rsidRPr="00BA112D">
        <w:rPr>
          <w:sz w:val="24"/>
          <w:szCs w:val="24"/>
        </w:rPr>
        <w:t>, 419</w:t>
      </w:r>
      <w:r w:rsidR="00AA0386" w:rsidRPr="00BA112D">
        <w:rPr>
          <w:sz w:val="24"/>
          <w:szCs w:val="24"/>
        </w:rPr>
        <w:t>–</w:t>
      </w:r>
      <w:r w:rsidRPr="00BA112D">
        <w:rPr>
          <w:sz w:val="24"/>
          <w:szCs w:val="24"/>
        </w:rPr>
        <w:t>432.</w:t>
      </w:r>
    </w:p>
    <w:p w14:paraId="0C2101BA" w14:textId="34A40AD9" w:rsidR="00533DCB" w:rsidRPr="00BA112D" w:rsidRDefault="00D2661A" w:rsidP="007D064C">
      <w:pPr>
        <w:pStyle w:val="biblio"/>
        <w:rPr>
          <w:sz w:val="24"/>
          <w:szCs w:val="24"/>
        </w:rPr>
      </w:pPr>
      <w:proofErr w:type="spellStart"/>
      <w:r w:rsidRPr="00BA112D">
        <w:rPr>
          <w:sz w:val="24"/>
          <w:szCs w:val="24"/>
        </w:rPr>
        <w:t>Mifal</w:t>
      </w:r>
      <w:proofErr w:type="spellEnd"/>
      <w:r w:rsidRPr="00BA112D">
        <w:rPr>
          <w:sz w:val="24"/>
          <w:szCs w:val="24"/>
        </w:rPr>
        <w:t xml:space="preserve"> </w:t>
      </w:r>
      <w:proofErr w:type="spellStart"/>
      <w:r w:rsidRPr="00BA112D">
        <w:rPr>
          <w:sz w:val="24"/>
          <w:szCs w:val="24"/>
        </w:rPr>
        <w:t>HaPayis</w:t>
      </w:r>
      <w:proofErr w:type="spellEnd"/>
      <w:r w:rsidRPr="00BA112D">
        <w:rPr>
          <w:sz w:val="24"/>
          <w:szCs w:val="24"/>
        </w:rPr>
        <w:t xml:space="preserve"> (Israel National Lottery). (2002). </w:t>
      </w:r>
      <w:proofErr w:type="spellStart"/>
      <w:r w:rsidRPr="002D5A8A">
        <w:rPr>
          <w:i/>
          <w:iCs/>
          <w:sz w:val="24"/>
          <w:szCs w:val="24"/>
        </w:rPr>
        <w:t>Moreh</w:t>
      </w:r>
      <w:proofErr w:type="spellEnd"/>
      <w:r w:rsidRPr="002D5A8A">
        <w:rPr>
          <w:i/>
          <w:iCs/>
          <w:sz w:val="24"/>
          <w:szCs w:val="24"/>
        </w:rPr>
        <w:t xml:space="preserve"> </w:t>
      </w:r>
      <w:proofErr w:type="spellStart"/>
      <w:r w:rsidRPr="002D5A8A">
        <w:rPr>
          <w:i/>
          <w:iCs/>
          <w:sz w:val="24"/>
          <w:szCs w:val="24"/>
        </w:rPr>
        <w:t>derekh</w:t>
      </w:r>
      <w:proofErr w:type="spellEnd"/>
      <w:r w:rsidRPr="002D5A8A">
        <w:rPr>
          <w:i/>
          <w:iCs/>
          <w:sz w:val="24"/>
          <w:szCs w:val="24"/>
        </w:rPr>
        <w:t xml:space="preserve">: </w:t>
      </w:r>
      <w:proofErr w:type="spellStart"/>
      <w:r w:rsidRPr="002D5A8A">
        <w:rPr>
          <w:i/>
          <w:iCs/>
          <w:sz w:val="24"/>
          <w:szCs w:val="24"/>
        </w:rPr>
        <w:t>Amat</w:t>
      </w:r>
      <w:proofErr w:type="spellEnd"/>
      <w:r w:rsidRPr="002D5A8A">
        <w:rPr>
          <w:i/>
          <w:iCs/>
          <w:sz w:val="24"/>
          <w:szCs w:val="24"/>
        </w:rPr>
        <w:t xml:space="preserve"> </w:t>
      </w:r>
      <w:proofErr w:type="spellStart"/>
      <w:r w:rsidRPr="002D5A8A">
        <w:rPr>
          <w:i/>
          <w:iCs/>
          <w:sz w:val="24"/>
          <w:szCs w:val="24"/>
        </w:rPr>
        <w:t>mida</w:t>
      </w:r>
      <w:proofErr w:type="spellEnd"/>
      <w:r w:rsidRPr="002D5A8A">
        <w:rPr>
          <w:i/>
          <w:iCs/>
          <w:sz w:val="24"/>
          <w:szCs w:val="24"/>
        </w:rPr>
        <w:t xml:space="preserve"> le-</w:t>
      </w:r>
      <w:proofErr w:type="spellStart"/>
      <w:r w:rsidRPr="002D5A8A">
        <w:rPr>
          <w:i/>
          <w:iCs/>
          <w:sz w:val="24"/>
          <w:szCs w:val="24"/>
        </w:rPr>
        <w:t>haktsaat</w:t>
      </w:r>
      <w:proofErr w:type="spellEnd"/>
      <w:r w:rsidRPr="002D5A8A">
        <w:rPr>
          <w:i/>
          <w:iCs/>
          <w:sz w:val="24"/>
          <w:szCs w:val="24"/>
        </w:rPr>
        <w:t xml:space="preserve"> </w:t>
      </w:r>
      <w:proofErr w:type="spellStart"/>
      <w:r w:rsidRPr="002D5A8A">
        <w:rPr>
          <w:i/>
          <w:iCs/>
          <w:sz w:val="24"/>
          <w:szCs w:val="24"/>
        </w:rPr>
        <w:t>kesafim</w:t>
      </w:r>
      <w:proofErr w:type="spellEnd"/>
      <w:r w:rsidRPr="002D5A8A">
        <w:rPr>
          <w:i/>
          <w:iCs/>
          <w:sz w:val="24"/>
          <w:szCs w:val="24"/>
        </w:rPr>
        <w:t xml:space="preserve"> al-</w:t>
      </w:r>
      <w:proofErr w:type="spellStart"/>
      <w:r w:rsidRPr="002D5A8A">
        <w:rPr>
          <w:i/>
          <w:iCs/>
          <w:sz w:val="24"/>
          <w:szCs w:val="24"/>
        </w:rPr>
        <w:t>yidei</w:t>
      </w:r>
      <w:proofErr w:type="spellEnd"/>
      <w:r w:rsidRPr="002D5A8A">
        <w:rPr>
          <w:i/>
          <w:iCs/>
          <w:sz w:val="24"/>
          <w:szCs w:val="24"/>
        </w:rPr>
        <w:t xml:space="preserve"> </w:t>
      </w:r>
      <w:proofErr w:type="spellStart"/>
      <w:r w:rsidRPr="002D5A8A">
        <w:rPr>
          <w:i/>
          <w:iCs/>
          <w:sz w:val="24"/>
          <w:szCs w:val="24"/>
        </w:rPr>
        <w:t>Mifal</w:t>
      </w:r>
      <w:proofErr w:type="spellEnd"/>
      <w:r w:rsidRPr="002D5A8A">
        <w:rPr>
          <w:i/>
          <w:iCs/>
          <w:sz w:val="24"/>
          <w:szCs w:val="24"/>
        </w:rPr>
        <w:t xml:space="preserve"> ha-</w:t>
      </w:r>
      <w:proofErr w:type="spellStart"/>
      <w:r w:rsidRPr="002D5A8A">
        <w:rPr>
          <w:i/>
          <w:iCs/>
          <w:sz w:val="24"/>
          <w:szCs w:val="24"/>
        </w:rPr>
        <w:t>Payis</w:t>
      </w:r>
      <w:proofErr w:type="spellEnd"/>
      <w:r w:rsidRPr="002D5A8A">
        <w:rPr>
          <w:i/>
          <w:iCs/>
          <w:sz w:val="24"/>
          <w:szCs w:val="24"/>
        </w:rPr>
        <w:t xml:space="preserve"> la-</w:t>
      </w:r>
      <w:proofErr w:type="spellStart"/>
      <w:r w:rsidRPr="002D5A8A">
        <w:rPr>
          <w:i/>
          <w:iCs/>
          <w:sz w:val="24"/>
          <w:szCs w:val="24"/>
        </w:rPr>
        <w:t>reshuyot</w:t>
      </w:r>
      <w:proofErr w:type="spellEnd"/>
      <w:r w:rsidRPr="002D5A8A">
        <w:rPr>
          <w:i/>
          <w:iCs/>
          <w:sz w:val="24"/>
          <w:szCs w:val="24"/>
        </w:rPr>
        <w:t xml:space="preserve"> ha-</w:t>
      </w:r>
      <w:proofErr w:type="spellStart"/>
      <w:r w:rsidRPr="002D5A8A">
        <w:rPr>
          <w:i/>
          <w:iCs/>
          <w:sz w:val="24"/>
          <w:szCs w:val="24"/>
        </w:rPr>
        <w:t>mekomiyot</w:t>
      </w:r>
      <w:proofErr w:type="spellEnd"/>
      <w:r w:rsidRPr="002D5A8A">
        <w:rPr>
          <w:i/>
          <w:iCs/>
          <w:sz w:val="24"/>
          <w:szCs w:val="24"/>
        </w:rPr>
        <w:t xml:space="preserve"> </w:t>
      </w:r>
      <w:r w:rsidR="007B162A" w:rsidRPr="002D5A8A">
        <w:rPr>
          <w:i/>
          <w:iCs/>
          <w:sz w:val="24"/>
          <w:szCs w:val="24"/>
        </w:rPr>
        <w:t>[</w:t>
      </w:r>
      <w:r w:rsidRPr="002D5A8A">
        <w:rPr>
          <w:i/>
          <w:iCs/>
          <w:sz w:val="24"/>
          <w:szCs w:val="24"/>
        </w:rPr>
        <w:t>Guide: Criteria for allocating National Lottery funds to the local authorities in Israel]</w:t>
      </w:r>
      <w:r w:rsidRPr="00BA112D">
        <w:rPr>
          <w:sz w:val="24"/>
          <w:szCs w:val="24"/>
        </w:rPr>
        <w:t xml:space="preserve">. Israel: Author. (Hebrew). </w:t>
      </w:r>
    </w:p>
    <w:p w14:paraId="1F566447" w14:textId="19AA3BDA" w:rsidR="00D2661A" w:rsidRPr="00BA112D" w:rsidRDefault="00D2661A" w:rsidP="00C64791">
      <w:pPr>
        <w:pStyle w:val="biblio"/>
        <w:rPr>
          <w:sz w:val="24"/>
          <w:szCs w:val="24"/>
        </w:rPr>
      </w:pPr>
      <w:r w:rsidRPr="00BA112D">
        <w:rPr>
          <w:sz w:val="24"/>
          <w:szCs w:val="24"/>
        </w:rPr>
        <w:t xml:space="preserve">Ministry of Education. (n. d.) </w:t>
      </w:r>
      <w:proofErr w:type="spellStart"/>
      <w:r w:rsidRPr="002D5A8A">
        <w:rPr>
          <w:i/>
          <w:iCs/>
          <w:sz w:val="24"/>
          <w:szCs w:val="24"/>
        </w:rPr>
        <w:t>Madad</w:t>
      </w:r>
      <w:proofErr w:type="spellEnd"/>
      <w:r w:rsidRPr="002D5A8A">
        <w:rPr>
          <w:i/>
          <w:iCs/>
          <w:sz w:val="24"/>
          <w:szCs w:val="24"/>
        </w:rPr>
        <w:t xml:space="preserve"> Ha-</w:t>
      </w:r>
      <w:proofErr w:type="spellStart"/>
      <w:r w:rsidRPr="002D5A8A">
        <w:rPr>
          <w:i/>
          <w:iCs/>
          <w:sz w:val="24"/>
          <w:szCs w:val="24"/>
        </w:rPr>
        <w:t>tipuach</w:t>
      </w:r>
      <w:proofErr w:type="spellEnd"/>
      <w:r w:rsidRPr="002D5A8A">
        <w:rPr>
          <w:i/>
          <w:iCs/>
          <w:sz w:val="24"/>
          <w:szCs w:val="24"/>
        </w:rPr>
        <w:t xml:space="preserve"> [The Care Index]</w:t>
      </w:r>
      <w:r w:rsidRPr="00BA112D">
        <w:rPr>
          <w:sz w:val="24"/>
          <w:szCs w:val="24"/>
        </w:rPr>
        <w:t xml:space="preserve">. Retrieved from </w:t>
      </w:r>
      <w:r w:rsidR="00C64791" w:rsidRPr="00533DCB">
        <w:rPr>
          <w:sz w:val="24"/>
          <w:szCs w:val="24"/>
        </w:rPr>
        <w:t>http://cms.education.gov.il/EducationCMS/Units/Scientist/CareIndex</w:t>
      </w:r>
      <w:r w:rsidR="00F9564A" w:rsidRPr="00533DCB">
        <w:rPr>
          <w:sz w:val="24"/>
          <w:szCs w:val="24"/>
        </w:rPr>
        <w:t>/</w:t>
      </w:r>
      <w:r w:rsidR="00C64791" w:rsidRPr="00BA112D">
        <w:rPr>
          <w:sz w:val="24"/>
          <w:szCs w:val="24"/>
        </w:rPr>
        <w:t xml:space="preserve"> </w:t>
      </w:r>
      <w:r w:rsidRPr="00BA112D">
        <w:rPr>
          <w:sz w:val="24"/>
          <w:szCs w:val="24"/>
        </w:rPr>
        <w:t>(Hebrew).</w:t>
      </w:r>
    </w:p>
    <w:p w14:paraId="5051BD1A" w14:textId="77777777" w:rsidR="002C6A44" w:rsidRPr="00BA112D" w:rsidRDefault="002C6A44" w:rsidP="007E631B">
      <w:pPr>
        <w:pStyle w:val="biblio"/>
        <w:rPr>
          <w:sz w:val="24"/>
          <w:szCs w:val="24"/>
        </w:rPr>
      </w:pPr>
      <w:proofErr w:type="spellStart"/>
      <w:r w:rsidRPr="00BA112D">
        <w:rPr>
          <w:sz w:val="24"/>
          <w:szCs w:val="24"/>
        </w:rPr>
        <w:t>Portnov</w:t>
      </w:r>
      <w:proofErr w:type="spellEnd"/>
      <w:r w:rsidRPr="00BA112D">
        <w:rPr>
          <w:sz w:val="24"/>
          <w:szCs w:val="24"/>
        </w:rPr>
        <w:t>, B.</w:t>
      </w:r>
      <w:r w:rsidR="00AA0386" w:rsidRPr="00BA112D">
        <w:rPr>
          <w:sz w:val="24"/>
          <w:szCs w:val="24"/>
        </w:rPr>
        <w:t xml:space="preserve"> </w:t>
      </w:r>
      <w:r w:rsidRPr="00BA112D">
        <w:rPr>
          <w:sz w:val="24"/>
          <w:szCs w:val="24"/>
        </w:rPr>
        <w:t xml:space="preserve">A. </w:t>
      </w:r>
      <w:r w:rsidR="00AA0386" w:rsidRPr="00BA112D">
        <w:rPr>
          <w:sz w:val="24"/>
          <w:szCs w:val="24"/>
        </w:rPr>
        <w:t xml:space="preserve">&amp; </w:t>
      </w:r>
      <w:proofErr w:type="spellStart"/>
      <w:r w:rsidR="00AA0386" w:rsidRPr="00BA112D">
        <w:rPr>
          <w:sz w:val="24"/>
          <w:szCs w:val="24"/>
        </w:rPr>
        <w:t>Erell</w:t>
      </w:r>
      <w:proofErr w:type="spellEnd"/>
      <w:r w:rsidR="00AA0386" w:rsidRPr="00BA112D">
        <w:rPr>
          <w:sz w:val="24"/>
          <w:szCs w:val="24"/>
        </w:rPr>
        <w:t>, E. (2001).</w:t>
      </w:r>
      <w:r w:rsidRPr="00BA112D">
        <w:rPr>
          <w:sz w:val="24"/>
          <w:szCs w:val="24"/>
        </w:rPr>
        <w:t xml:space="preserve"> </w:t>
      </w:r>
      <w:r w:rsidRPr="002D5A8A">
        <w:rPr>
          <w:i/>
          <w:iCs/>
          <w:sz w:val="24"/>
          <w:szCs w:val="24"/>
        </w:rPr>
        <w:t xml:space="preserve">Urban </w:t>
      </w:r>
      <w:r w:rsidR="00AA0386" w:rsidRPr="002D5A8A">
        <w:rPr>
          <w:i/>
          <w:iCs/>
          <w:sz w:val="24"/>
          <w:szCs w:val="24"/>
        </w:rPr>
        <w:t>clustering</w:t>
      </w:r>
      <w:r w:rsidRPr="002D5A8A">
        <w:rPr>
          <w:i/>
          <w:iCs/>
          <w:sz w:val="24"/>
          <w:szCs w:val="24"/>
        </w:rPr>
        <w:t xml:space="preserve">: The </w:t>
      </w:r>
      <w:r w:rsidR="00AA0386" w:rsidRPr="002D5A8A">
        <w:rPr>
          <w:i/>
          <w:iCs/>
          <w:sz w:val="24"/>
          <w:szCs w:val="24"/>
        </w:rPr>
        <w:t>benefits and drawbacks of location</w:t>
      </w:r>
      <w:r w:rsidR="00AA0386" w:rsidRPr="00BA112D">
        <w:rPr>
          <w:sz w:val="24"/>
          <w:szCs w:val="24"/>
        </w:rPr>
        <w:t>. Ashgate:</w:t>
      </w:r>
      <w:r w:rsidRPr="00BA112D">
        <w:rPr>
          <w:sz w:val="24"/>
          <w:szCs w:val="24"/>
        </w:rPr>
        <w:t xml:space="preserve"> Aldershot.</w:t>
      </w:r>
    </w:p>
    <w:p w14:paraId="6AD068F5" w14:textId="6CAFC20F" w:rsidR="009C5B93" w:rsidRDefault="009C5B93" w:rsidP="00533DCB">
      <w:pPr>
        <w:pStyle w:val="biblio"/>
        <w:rPr>
          <w:sz w:val="24"/>
          <w:szCs w:val="24"/>
        </w:rPr>
      </w:pPr>
      <w:proofErr w:type="spellStart"/>
      <w:r w:rsidRPr="00BA112D">
        <w:rPr>
          <w:sz w:val="24"/>
          <w:szCs w:val="24"/>
        </w:rPr>
        <w:t>Shürmann</w:t>
      </w:r>
      <w:proofErr w:type="spellEnd"/>
      <w:r w:rsidRPr="00BA112D">
        <w:rPr>
          <w:sz w:val="24"/>
          <w:szCs w:val="24"/>
        </w:rPr>
        <w:t xml:space="preserve">, C., &amp; </w:t>
      </w:r>
      <w:proofErr w:type="spellStart"/>
      <w:r w:rsidRPr="00BA112D">
        <w:rPr>
          <w:sz w:val="24"/>
          <w:szCs w:val="24"/>
        </w:rPr>
        <w:t>Talaat</w:t>
      </w:r>
      <w:proofErr w:type="spellEnd"/>
      <w:r w:rsidRPr="00BA112D">
        <w:rPr>
          <w:sz w:val="24"/>
          <w:szCs w:val="24"/>
        </w:rPr>
        <w:t xml:space="preserve">, A. (2000). </w:t>
      </w:r>
      <w:r w:rsidRPr="002D5A8A">
        <w:rPr>
          <w:i/>
          <w:iCs/>
          <w:sz w:val="24"/>
          <w:szCs w:val="24"/>
        </w:rPr>
        <w:t>Towards a European peripherality index</w:t>
      </w:r>
      <w:r w:rsidRPr="00BA112D">
        <w:rPr>
          <w:sz w:val="24"/>
          <w:szCs w:val="24"/>
        </w:rPr>
        <w:t xml:space="preserve">. Final Report. Report for General Directorate XVI Regional Policy of the European Commission. </w:t>
      </w:r>
      <w:proofErr w:type="spellStart"/>
      <w:r w:rsidRPr="00BA112D">
        <w:rPr>
          <w:sz w:val="24"/>
          <w:szCs w:val="24"/>
        </w:rPr>
        <w:t>Institut</w:t>
      </w:r>
      <w:proofErr w:type="spellEnd"/>
      <w:r w:rsidRPr="00BA112D">
        <w:rPr>
          <w:sz w:val="24"/>
          <w:szCs w:val="24"/>
        </w:rPr>
        <w:t xml:space="preserve"> </w:t>
      </w:r>
      <w:proofErr w:type="spellStart"/>
      <w:r w:rsidRPr="00BA112D">
        <w:rPr>
          <w:sz w:val="24"/>
          <w:szCs w:val="24"/>
        </w:rPr>
        <w:t>für</w:t>
      </w:r>
      <w:proofErr w:type="spellEnd"/>
      <w:r w:rsidRPr="00BA112D">
        <w:rPr>
          <w:sz w:val="24"/>
          <w:szCs w:val="24"/>
        </w:rPr>
        <w:t xml:space="preserve"> </w:t>
      </w:r>
      <w:proofErr w:type="spellStart"/>
      <w:r w:rsidRPr="00BA112D">
        <w:rPr>
          <w:sz w:val="24"/>
          <w:szCs w:val="24"/>
        </w:rPr>
        <w:t>Raumplanung</w:t>
      </w:r>
      <w:proofErr w:type="spellEnd"/>
      <w:r w:rsidRPr="00BA112D">
        <w:rPr>
          <w:sz w:val="24"/>
          <w:szCs w:val="24"/>
        </w:rPr>
        <w:t xml:space="preserve"> (Institute for Spatial Planning), Universität Dortmund,</w:t>
      </w:r>
      <w:r w:rsidR="002373BC" w:rsidRPr="00BA112D">
        <w:rPr>
          <w:sz w:val="24"/>
          <w:szCs w:val="24"/>
        </w:rPr>
        <w:t xml:space="preserve"> Germany: IRPUD. </w:t>
      </w:r>
    </w:p>
    <w:p w14:paraId="58576907" w14:textId="0793E0D1" w:rsidR="00533DCB" w:rsidRPr="00533DCB" w:rsidRDefault="002C6A44" w:rsidP="007D064C">
      <w:pPr>
        <w:pStyle w:val="biblio"/>
        <w:rPr>
          <w:sz w:val="24"/>
          <w:szCs w:val="24"/>
        </w:rPr>
      </w:pPr>
      <w:proofErr w:type="spellStart"/>
      <w:r w:rsidRPr="00BA112D">
        <w:rPr>
          <w:sz w:val="24"/>
          <w:szCs w:val="24"/>
        </w:rPr>
        <w:t>Shürmann</w:t>
      </w:r>
      <w:proofErr w:type="spellEnd"/>
      <w:r w:rsidRPr="00BA112D">
        <w:rPr>
          <w:sz w:val="24"/>
          <w:szCs w:val="24"/>
        </w:rPr>
        <w:t>, C.</w:t>
      </w:r>
      <w:r w:rsidR="003E1006" w:rsidRPr="00BA112D">
        <w:rPr>
          <w:sz w:val="24"/>
          <w:szCs w:val="24"/>
        </w:rPr>
        <w:t>,</w:t>
      </w:r>
      <w:r w:rsidRPr="00BA112D">
        <w:rPr>
          <w:sz w:val="24"/>
          <w:szCs w:val="24"/>
        </w:rPr>
        <w:t xml:space="preserve"> </w:t>
      </w:r>
      <w:r w:rsidR="00AA0386" w:rsidRPr="00BA112D">
        <w:rPr>
          <w:sz w:val="24"/>
          <w:szCs w:val="24"/>
        </w:rPr>
        <w:t>&amp;</w:t>
      </w:r>
      <w:r w:rsidRPr="00BA112D">
        <w:rPr>
          <w:sz w:val="24"/>
          <w:szCs w:val="24"/>
        </w:rPr>
        <w:t xml:space="preserve"> </w:t>
      </w:r>
      <w:proofErr w:type="spellStart"/>
      <w:r w:rsidRPr="00BA112D">
        <w:rPr>
          <w:sz w:val="24"/>
          <w:szCs w:val="24"/>
        </w:rPr>
        <w:t>Talaat</w:t>
      </w:r>
      <w:proofErr w:type="spellEnd"/>
      <w:r w:rsidRPr="00BA112D">
        <w:rPr>
          <w:sz w:val="24"/>
          <w:szCs w:val="24"/>
        </w:rPr>
        <w:t>, A. (2002</w:t>
      </w:r>
      <w:r w:rsidR="003977A1" w:rsidRPr="00BA112D">
        <w:rPr>
          <w:sz w:val="24"/>
          <w:szCs w:val="24"/>
        </w:rPr>
        <w:t>, August</w:t>
      </w:r>
      <w:r w:rsidRPr="00BA112D">
        <w:rPr>
          <w:sz w:val="24"/>
          <w:szCs w:val="24"/>
        </w:rPr>
        <w:t xml:space="preserve">). </w:t>
      </w:r>
      <w:r w:rsidRPr="002D5A8A">
        <w:rPr>
          <w:i/>
          <w:iCs/>
          <w:sz w:val="24"/>
          <w:szCs w:val="24"/>
        </w:rPr>
        <w:t>The European Peripherality Index</w:t>
      </w:r>
      <w:r w:rsidRPr="00BA112D">
        <w:rPr>
          <w:sz w:val="24"/>
          <w:szCs w:val="24"/>
        </w:rPr>
        <w:t>. Paper presented at the 42nd Congress of the European Regional Science Association (</w:t>
      </w:r>
      <w:r w:rsidR="003977A1" w:rsidRPr="00BA112D">
        <w:rPr>
          <w:sz w:val="24"/>
          <w:szCs w:val="24"/>
        </w:rPr>
        <w:t xml:space="preserve">ERSA), Dortmund, Germany. </w:t>
      </w:r>
    </w:p>
    <w:p w14:paraId="3B94FEB9" w14:textId="173A1C04" w:rsidR="00510687" w:rsidRPr="00510687" w:rsidRDefault="003E1006" w:rsidP="007D064C">
      <w:pPr>
        <w:pStyle w:val="biblio"/>
        <w:rPr>
          <w:sz w:val="24"/>
          <w:szCs w:val="24"/>
        </w:rPr>
      </w:pPr>
      <w:proofErr w:type="spellStart"/>
      <w:r w:rsidRPr="00BA112D">
        <w:rPr>
          <w:sz w:val="24"/>
          <w:szCs w:val="24"/>
        </w:rPr>
        <w:t>Spiekermann</w:t>
      </w:r>
      <w:proofErr w:type="spellEnd"/>
      <w:r w:rsidRPr="00BA112D">
        <w:rPr>
          <w:sz w:val="24"/>
          <w:szCs w:val="24"/>
        </w:rPr>
        <w:t xml:space="preserve">, K., </w:t>
      </w:r>
      <w:r w:rsidR="00E7121B" w:rsidRPr="00BA112D">
        <w:rPr>
          <w:sz w:val="24"/>
          <w:szCs w:val="24"/>
        </w:rPr>
        <w:t>&amp;</w:t>
      </w:r>
      <w:r w:rsidR="002C6A44" w:rsidRPr="00BA112D">
        <w:rPr>
          <w:sz w:val="24"/>
          <w:szCs w:val="24"/>
        </w:rPr>
        <w:t xml:space="preserve"> Neubauer, J. (2002). </w:t>
      </w:r>
      <w:r w:rsidR="002C6A44" w:rsidRPr="002D5A8A">
        <w:rPr>
          <w:i/>
          <w:iCs/>
          <w:sz w:val="24"/>
          <w:szCs w:val="24"/>
        </w:rPr>
        <w:t xml:space="preserve">European </w:t>
      </w:r>
      <w:r w:rsidR="00E7121B" w:rsidRPr="002D5A8A">
        <w:rPr>
          <w:i/>
          <w:iCs/>
          <w:sz w:val="24"/>
          <w:szCs w:val="24"/>
        </w:rPr>
        <w:t>accessibility and p</w:t>
      </w:r>
      <w:r w:rsidR="002C6A44" w:rsidRPr="002D5A8A">
        <w:rPr>
          <w:i/>
          <w:iCs/>
          <w:sz w:val="24"/>
          <w:szCs w:val="24"/>
        </w:rPr>
        <w:t xml:space="preserve">eripherality: Concepts, </w:t>
      </w:r>
      <w:r w:rsidR="00E7121B" w:rsidRPr="002D5A8A">
        <w:rPr>
          <w:i/>
          <w:iCs/>
          <w:sz w:val="24"/>
          <w:szCs w:val="24"/>
        </w:rPr>
        <w:t>models and i</w:t>
      </w:r>
      <w:r w:rsidR="002C6A44" w:rsidRPr="002D5A8A">
        <w:rPr>
          <w:i/>
          <w:iCs/>
          <w:sz w:val="24"/>
          <w:szCs w:val="24"/>
        </w:rPr>
        <w:t>ndicators</w:t>
      </w:r>
      <w:r w:rsidR="002C6A44" w:rsidRPr="00BA112D">
        <w:rPr>
          <w:sz w:val="24"/>
          <w:szCs w:val="24"/>
        </w:rPr>
        <w:t xml:space="preserve">. Working Paper, </w:t>
      </w:r>
      <w:proofErr w:type="spellStart"/>
      <w:r w:rsidR="00DE73FC" w:rsidRPr="00BA112D">
        <w:rPr>
          <w:sz w:val="24"/>
          <w:szCs w:val="24"/>
        </w:rPr>
        <w:t>Nordregio</w:t>
      </w:r>
      <w:proofErr w:type="spellEnd"/>
      <w:r w:rsidR="00DE73FC" w:rsidRPr="00BA112D">
        <w:rPr>
          <w:sz w:val="24"/>
          <w:szCs w:val="24"/>
        </w:rPr>
        <w:t xml:space="preserve"> (Nordic </w:t>
      </w:r>
      <w:proofErr w:type="spellStart"/>
      <w:r w:rsidR="00DE73FC" w:rsidRPr="00BA112D">
        <w:rPr>
          <w:sz w:val="24"/>
          <w:szCs w:val="24"/>
        </w:rPr>
        <w:t>Center</w:t>
      </w:r>
      <w:proofErr w:type="spellEnd"/>
      <w:r w:rsidR="00DE73FC" w:rsidRPr="00BA112D">
        <w:rPr>
          <w:sz w:val="24"/>
          <w:szCs w:val="24"/>
        </w:rPr>
        <w:t xml:space="preserve"> for Spatial Development) </w:t>
      </w:r>
      <w:r w:rsidR="002C6A44" w:rsidRPr="00BA112D">
        <w:rPr>
          <w:sz w:val="24"/>
          <w:szCs w:val="24"/>
        </w:rPr>
        <w:t>Stockholm</w:t>
      </w:r>
      <w:r w:rsidR="00DE73FC" w:rsidRPr="00BA112D">
        <w:rPr>
          <w:sz w:val="24"/>
          <w:szCs w:val="24"/>
        </w:rPr>
        <w:t>, Sweden</w:t>
      </w:r>
      <w:r w:rsidR="002C6A44" w:rsidRPr="00BA112D">
        <w:rPr>
          <w:sz w:val="24"/>
          <w:szCs w:val="24"/>
        </w:rPr>
        <w:t xml:space="preserve">. </w:t>
      </w:r>
    </w:p>
    <w:p w14:paraId="4664C6F3" w14:textId="77777777" w:rsidR="002C6A44" w:rsidRPr="00BA112D" w:rsidRDefault="002C6A44" w:rsidP="007E631B">
      <w:pPr>
        <w:pStyle w:val="biblio"/>
        <w:rPr>
          <w:sz w:val="24"/>
          <w:szCs w:val="24"/>
        </w:rPr>
      </w:pPr>
      <w:r w:rsidRPr="00BA112D">
        <w:rPr>
          <w:sz w:val="24"/>
          <w:szCs w:val="24"/>
        </w:rPr>
        <w:t>Stewart, J.</w:t>
      </w:r>
      <w:r w:rsidR="008319E6" w:rsidRPr="00BA112D">
        <w:rPr>
          <w:sz w:val="24"/>
          <w:szCs w:val="24"/>
        </w:rPr>
        <w:t xml:space="preserve"> </w:t>
      </w:r>
      <w:r w:rsidRPr="00BA112D">
        <w:rPr>
          <w:sz w:val="24"/>
          <w:szCs w:val="24"/>
        </w:rPr>
        <w:t>Q. (1947). Empirical</w:t>
      </w:r>
      <w:r w:rsidR="00DE73FC" w:rsidRPr="00BA112D">
        <w:rPr>
          <w:sz w:val="24"/>
          <w:szCs w:val="24"/>
        </w:rPr>
        <w:t xml:space="preserve"> mathematical rules concerning the distribution and equilibrium of population</w:t>
      </w:r>
      <w:r w:rsidRPr="00BA112D">
        <w:rPr>
          <w:sz w:val="24"/>
          <w:szCs w:val="24"/>
        </w:rPr>
        <w:t xml:space="preserve">. </w:t>
      </w:r>
      <w:r w:rsidRPr="002D5A8A">
        <w:rPr>
          <w:i/>
          <w:iCs/>
          <w:sz w:val="24"/>
          <w:szCs w:val="24"/>
        </w:rPr>
        <w:t>Geographical Review</w:t>
      </w:r>
      <w:r w:rsidR="008319E6" w:rsidRPr="002D5A8A">
        <w:rPr>
          <w:i/>
          <w:iCs/>
          <w:sz w:val="24"/>
          <w:szCs w:val="24"/>
        </w:rPr>
        <w:t>,</w:t>
      </w:r>
      <w:r w:rsidRPr="002D5A8A">
        <w:rPr>
          <w:i/>
          <w:iCs/>
          <w:sz w:val="24"/>
          <w:szCs w:val="24"/>
        </w:rPr>
        <w:t xml:space="preserve"> 37</w:t>
      </w:r>
      <w:r w:rsidR="008319E6" w:rsidRPr="00BA112D">
        <w:rPr>
          <w:sz w:val="24"/>
          <w:szCs w:val="24"/>
        </w:rPr>
        <w:t>, 461–</w:t>
      </w:r>
      <w:r w:rsidRPr="00BA112D">
        <w:rPr>
          <w:sz w:val="24"/>
          <w:szCs w:val="24"/>
        </w:rPr>
        <w:t>485.</w:t>
      </w:r>
    </w:p>
    <w:p w14:paraId="23312023" w14:textId="77777777" w:rsidR="002C6A44" w:rsidRPr="00BA112D" w:rsidRDefault="002C6A44" w:rsidP="007E631B">
      <w:pPr>
        <w:pStyle w:val="biblio"/>
        <w:rPr>
          <w:sz w:val="24"/>
          <w:szCs w:val="24"/>
        </w:rPr>
      </w:pPr>
      <w:r w:rsidRPr="00BA112D">
        <w:rPr>
          <w:sz w:val="24"/>
          <w:szCs w:val="24"/>
        </w:rPr>
        <w:t>Thomas, R.</w:t>
      </w:r>
      <w:r w:rsidR="008319E6" w:rsidRPr="00BA112D">
        <w:rPr>
          <w:sz w:val="24"/>
          <w:szCs w:val="24"/>
        </w:rPr>
        <w:t xml:space="preserve"> </w:t>
      </w:r>
      <w:r w:rsidRPr="00BA112D">
        <w:rPr>
          <w:sz w:val="24"/>
          <w:szCs w:val="24"/>
        </w:rPr>
        <w:t>M.</w:t>
      </w:r>
      <w:r w:rsidR="003E1006" w:rsidRPr="00BA112D">
        <w:rPr>
          <w:sz w:val="24"/>
          <w:szCs w:val="24"/>
        </w:rPr>
        <w:t>,</w:t>
      </w:r>
      <w:r w:rsidRPr="00BA112D">
        <w:rPr>
          <w:sz w:val="24"/>
          <w:szCs w:val="24"/>
        </w:rPr>
        <w:t xml:space="preserve"> </w:t>
      </w:r>
      <w:r w:rsidR="008319E6" w:rsidRPr="00BA112D">
        <w:rPr>
          <w:sz w:val="24"/>
          <w:szCs w:val="24"/>
        </w:rPr>
        <w:t>&amp;</w:t>
      </w:r>
      <w:r w:rsidRPr="00BA112D">
        <w:rPr>
          <w:sz w:val="24"/>
          <w:szCs w:val="24"/>
        </w:rPr>
        <w:t xml:space="preserve"> Huggett, R.</w:t>
      </w:r>
      <w:r w:rsidR="008319E6" w:rsidRPr="00BA112D">
        <w:rPr>
          <w:sz w:val="24"/>
          <w:szCs w:val="24"/>
        </w:rPr>
        <w:t xml:space="preserve"> </w:t>
      </w:r>
      <w:r w:rsidRPr="00BA112D">
        <w:rPr>
          <w:sz w:val="24"/>
          <w:szCs w:val="24"/>
        </w:rPr>
        <w:t xml:space="preserve">J. (1980). </w:t>
      </w:r>
      <w:proofErr w:type="spellStart"/>
      <w:r w:rsidRPr="002D5A8A">
        <w:rPr>
          <w:i/>
          <w:iCs/>
          <w:sz w:val="24"/>
          <w:szCs w:val="24"/>
        </w:rPr>
        <w:t>Modeling</w:t>
      </w:r>
      <w:proofErr w:type="spellEnd"/>
      <w:r w:rsidRPr="002D5A8A">
        <w:rPr>
          <w:i/>
          <w:iCs/>
          <w:sz w:val="24"/>
          <w:szCs w:val="24"/>
        </w:rPr>
        <w:t xml:space="preserve"> in </w:t>
      </w:r>
      <w:r w:rsidR="008319E6" w:rsidRPr="002D5A8A">
        <w:rPr>
          <w:i/>
          <w:iCs/>
          <w:sz w:val="24"/>
          <w:szCs w:val="24"/>
        </w:rPr>
        <w:t>geography</w:t>
      </w:r>
      <w:r w:rsidRPr="002D5A8A">
        <w:rPr>
          <w:i/>
          <w:iCs/>
          <w:sz w:val="24"/>
          <w:szCs w:val="24"/>
        </w:rPr>
        <w:t xml:space="preserve">: A </w:t>
      </w:r>
      <w:r w:rsidR="008319E6" w:rsidRPr="002D5A8A">
        <w:rPr>
          <w:i/>
          <w:iCs/>
          <w:sz w:val="24"/>
          <w:szCs w:val="24"/>
        </w:rPr>
        <w:t>mathematical approac</w:t>
      </w:r>
      <w:r w:rsidR="00C230AA" w:rsidRPr="002D5A8A">
        <w:rPr>
          <w:i/>
          <w:iCs/>
          <w:sz w:val="24"/>
          <w:szCs w:val="24"/>
        </w:rPr>
        <w:t>h</w:t>
      </w:r>
      <w:r w:rsidR="00C230AA" w:rsidRPr="00BA112D">
        <w:rPr>
          <w:sz w:val="24"/>
          <w:szCs w:val="24"/>
        </w:rPr>
        <w:t>. Totowa, NJ</w:t>
      </w:r>
      <w:r w:rsidR="008319E6" w:rsidRPr="00BA112D">
        <w:rPr>
          <w:sz w:val="24"/>
          <w:szCs w:val="24"/>
        </w:rPr>
        <w:t xml:space="preserve">: </w:t>
      </w:r>
      <w:r w:rsidRPr="00BA112D">
        <w:rPr>
          <w:sz w:val="24"/>
          <w:szCs w:val="24"/>
        </w:rPr>
        <w:t>Barnes &amp; Noble.</w:t>
      </w:r>
    </w:p>
    <w:p w14:paraId="2EAA999C" w14:textId="77777777" w:rsidR="00D2661A" w:rsidRPr="00BA112D" w:rsidRDefault="00D2661A" w:rsidP="007E631B">
      <w:pPr>
        <w:pStyle w:val="biblio"/>
        <w:rPr>
          <w:sz w:val="24"/>
          <w:szCs w:val="24"/>
        </w:rPr>
      </w:pPr>
      <w:r w:rsidRPr="00BA112D">
        <w:rPr>
          <w:sz w:val="24"/>
          <w:szCs w:val="24"/>
        </w:rPr>
        <w:t xml:space="preserve">Tsibel, N. (2009). </w:t>
      </w:r>
      <w:r w:rsidRPr="002D5A8A">
        <w:rPr>
          <w:i/>
          <w:iCs/>
          <w:sz w:val="24"/>
          <w:szCs w:val="24"/>
        </w:rPr>
        <w:t>Peripherality index of local authorities in Israel: Combination of potential accessibility index with proximity to Tel Aviv District</w:t>
      </w:r>
      <w:r w:rsidRPr="00BA112D">
        <w:rPr>
          <w:sz w:val="24"/>
          <w:szCs w:val="24"/>
        </w:rPr>
        <w:t xml:space="preserve">. Working Paper No. 45. Jerusalem: Central Bureau of Statistics (Hebrew; English abstract). </w:t>
      </w:r>
    </w:p>
    <w:p w14:paraId="61D3C6AB" w14:textId="604EDF97" w:rsidR="00D2661A" w:rsidRPr="00BA112D" w:rsidRDefault="0004118A" w:rsidP="00FA4CC4">
      <w:pPr>
        <w:pStyle w:val="biblio"/>
        <w:rPr>
          <w:sz w:val="24"/>
          <w:szCs w:val="24"/>
        </w:rPr>
      </w:pPr>
      <w:r w:rsidRPr="00BA112D">
        <w:rPr>
          <w:sz w:val="24"/>
          <w:szCs w:val="24"/>
        </w:rPr>
        <w:lastRenderedPageBreak/>
        <w:t>Tsibel, N., &amp; Burck, L. (2005</w:t>
      </w:r>
      <w:r w:rsidR="00D2661A" w:rsidRPr="00BA112D">
        <w:rPr>
          <w:sz w:val="24"/>
          <w:szCs w:val="24"/>
        </w:rPr>
        <w:t xml:space="preserve">). </w:t>
      </w:r>
      <w:r w:rsidR="00D2661A" w:rsidRPr="002D5A8A">
        <w:rPr>
          <w:i/>
          <w:iCs/>
          <w:sz w:val="24"/>
          <w:szCs w:val="24"/>
        </w:rPr>
        <w:t>Peripherality/accessibility indices: Concepts, models, and indicators</w:t>
      </w:r>
      <w:r w:rsidR="00FA4CC4" w:rsidRPr="00BA112D">
        <w:rPr>
          <w:sz w:val="24"/>
          <w:szCs w:val="24"/>
        </w:rPr>
        <w:t>. U</w:t>
      </w:r>
      <w:r w:rsidR="00925245" w:rsidRPr="00BA112D">
        <w:rPr>
          <w:sz w:val="24"/>
          <w:szCs w:val="24"/>
        </w:rPr>
        <w:t xml:space="preserve">npublished </w:t>
      </w:r>
      <w:r w:rsidR="00FA4CC4" w:rsidRPr="00BA112D">
        <w:rPr>
          <w:sz w:val="24"/>
          <w:szCs w:val="24"/>
        </w:rPr>
        <w:t xml:space="preserve">manuscript, </w:t>
      </w:r>
      <w:r w:rsidR="00D2661A" w:rsidRPr="00BA112D">
        <w:rPr>
          <w:sz w:val="24"/>
          <w:szCs w:val="24"/>
        </w:rPr>
        <w:t>Jerusalem: Central Bureau of Statistics.</w:t>
      </w:r>
    </w:p>
    <w:p w14:paraId="14797586" w14:textId="77777777" w:rsidR="002C6A44" w:rsidRPr="00BA112D" w:rsidRDefault="002C6A44" w:rsidP="007E631B">
      <w:pPr>
        <w:pStyle w:val="biblio"/>
        <w:rPr>
          <w:sz w:val="24"/>
          <w:szCs w:val="24"/>
        </w:rPr>
      </w:pPr>
      <w:r w:rsidRPr="00BA112D">
        <w:rPr>
          <w:sz w:val="24"/>
          <w:szCs w:val="24"/>
        </w:rPr>
        <w:t>Wang, F.</w:t>
      </w:r>
      <w:r w:rsidR="008319E6" w:rsidRPr="00BA112D">
        <w:rPr>
          <w:sz w:val="24"/>
          <w:szCs w:val="24"/>
        </w:rPr>
        <w:t>,</w:t>
      </w:r>
      <w:r w:rsidRPr="00BA112D">
        <w:rPr>
          <w:sz w:val="24"/>
          <w:szCs w:val="24"/>
        </w:rPr>
        <w:t xml:space="preserve"> </w:t>
      </w:r>
      <w:r w:rsidR="008319E6" w:rsidRPr="00BA112D">
        <w:rPr>
          <w:sz w:val="24"/>
          <w:szCs w:val="24"/>
        </w:rPr>
        <w:t>&amp;</w:t>
      </w:r>
      <w:r w:rsidRPr="00BA112D">
        <w:rPr>
          <w:sz w:val="24"/>
          <w:szCs w:val="24"/>
        </w:rPr>
        <w:t xml:space="preserve"> Minor, W.</w:t>
      </w:r>
      <w:r w:rsidR="008319E6" w:rsidRPr="00BA112D">
        <w:rPr>
          <w:sz w:val="24"/>
          <w:szCs w:val="24"/>
        </w:rPr>
        <w:t xml:space="preserve"> </w:t>
      </w:r>
      <w:r w:rsidRPr="00BA112D">
        <w:rPr>
          <w:sz w:val="24"/>
          <w:szCs w:val="24"/>
        </w:rPr>
        <w:t xml:space="preserve">W. (2002). Where the </w:t>
      </w:r>
      <w:r w:rsidR="008319E6" w:rsidRPr="00BA112D">
        <w:rPr>
          <w:sz w:val="24"/>
          <w:szCs w:val="24"/>
        </w:rPr>
        <w:t>jobs a</w:t>
      </w:r>
      <w:r w:rsidRPr="00BA112D">
        <w:rPr>
          <w:sz w:val="24"/>
          <w:szCs w:val="24"/>
        </w:rPr>
        <w:t xml:space="preserve">re: Employment </w:t>
      </w:r>
      <w:r w:rsidR="008319E6" w:rsidRPr="00BA112D">
        <w:rPr>
          <w:sz w:val="24"/>
          <w:szCs w:val="24"/>
        </w:rPr>
        <w:t>access and crime patter</w:t>
      </w:r>
      <w:r w:rsidRPr="00BA112D">
        <w:rPr>
          <w:sz w:val="24"/>
          <w:szCs w:val="24"/>
        </w:rPr>
        <w:t xml:space="preserve">ns in Cleveland. </w:t>
      </w:r>
      <w:r w:rsidRPr="002D5A8A">
        <w:rPr>
          <w:i/>
          <w:iCs/>
          <w:sz w:val="24"/>
          <w:szCs w:val="24"/>
        </w:rPr>
        <w:t>Annals of the Association of American Geographers, 92</w:t>
      </w:r>
      <w:r w:rsidR="008319E6" w:rsidRPr="002D5A8A">
        <w:rPr>
          <w:i/>
          <w:iCs/>
          <w:sz w:val="24"/>
          <w:szCs w:val="24"/>
        </w:rPr>
        <w:t>(3)</w:t>
      </w:r>
      <w:r w:rsidR="008319E6" w:rsidRPr="00BA112D">
        <w:rPr>
          <w:sz w:val="24"/>
          <w:szCs w:val="24"/>
        </w:rPr>
        <w:t>, 435–</w:t>
      </w:r>
      <w:r w:rsidRPr="00BA112D">
        <w:rPr>
          <w:sz w:val="24"/>
          <w:szCs w:val="24"/>
        </w:rPr>
        <w:t>450.</w:t>
      </w:r>
    </w:p>
    <w:p w14:paraId="129E62A2" w14:textId="67702167" w:rsidR="002C6A44" w:rsidRPr="00BA112D" w:rsidRDefault="002C6A44" w:rsidP="00510687">
      <w:pPr>
        <w:pStyle w:val="biblio"/>
        <w:rPr>
          <w:sz w:val="24"/>
          <w:szCs w:val="24"/>
        </w:rPr>
      </w:pPr>
      <w:r w:rsidRPr="00BA112D">
        <w:rPr>
          <w:sz w:val="24"/>
          <w:szCs w:val="24"/>
        </w:rPr>
        <w:t>Wegener, M., Eskelinen, H., Fürst, F., Schürmann, C.</w:t>
      </w:r>
      <w:r w:rsidR="008319E6" w:rsidRPr="00BA112D">
        <w:rPr>
          <w:sz w:val="24"/>
          <w:szCs w:val="24"/>
        </w:rPr>
        <w:t>, &amp;</w:t>
      </w:r>
      <w:r w:rsidRPr="00BA112D">
        <w:rPr>
          <w:sz w:val="24"/>
          <w:szCs w:val="24"/>
        </w:rPr>
        <w:t xml:space="preserve"> Spiekermann, K. (2000). </w:t>
      </w:r>
      <w:r w:rsidRPr="002D5A8A">
        <w:rPr>
          <w:i/>
          <w:iCs/>
          <w:sz w:val="24"/>
          <w:szCs w:val="24"/>
        </w:rPr>
        <w:t xml:space="preserve">Final Report of the </w:t>
      </w:r>
      <w:r w:rsidR="007B162A" w:rsidRPr="002D5A8A">
        <w:rPr>
          <w:i/>
          <w:iCs/>
          <w:sz w:val="24"/>
          <w:szCs w:val="24"/>
        </w:rPr>
        <w:t>working g</w:t>
      </w:r>
      <w:r w:rsidRPr="002D5A8A">
        <w:rPr>
          <w:i/>
          <w:iCs/>
          <w:sz w:val="24"/>
          <w:szCs w:val="24"/>
        </w:rPr>
        <w:t>roup “Geographical Position” of the Study Programme on European Spatial Planning (SPESP)</w:t>
      </w:r>
      <w:r w:rsidRPr="00BA112D">
        <w:rPr>
          <w:sz w:val="24"/>
          <w:szCs w:val="24"/>
        </w:rPr>
        <w:t>. Bonn</w:t>
      </w:r>
      <w:r w:rsidR="007B162A" w:rsidRPr="00BA112D">
        <w:rPr>
          <w:sz w:val="24"/>
          <w:szCs w:val="24"/>
        </w:rPr>
        <w:t>, Germany</w:t>
      </w:r>
      <w:r w:rsidR="002373BC" w:rsidRPr="00BA112D">
        <w:rPr>
          <w:sz w:val="24"/>
          <w:szCs w:val="24"/>
        </w:rPr>
        <w:t xml:space="preserve">. </w:t>
      </w:r>
    </w:p>
    <w:p w14:paraId="613AA93B" w14:textId="77777777" w:rsidR="002C6A44" w:rsidRPr="00BA112D" w:rsidRDefault="002C6A44" w:rsidP="000B3846">
      <w:pPr>
        <w:pStyle w:val="biblio"/>
        <w:rPr>
          <w:b/>
          <w:bCs/>
          <w:sz w:val="24"/>
          <w:szCs w:val="24"/>
          <w:lang w:val="en-US"/>
        </w:rPr>
      </w:pPr>
      <w:r w:rsidRPr="00BA112D">
        <w:rPr>
          <w:sz w:val="24"/>
          <w:szCs w:val="24"/>
        </w:rPr>
        <w:t>Wilson, A.</w:t>
      </w:r>
      <w:r w:rsidR="00160013" w:rsidRPr="00BA112D">
        <w:rPr>
          <w:sz w:val="24"/>
          <w:szCs w:val="24"/>
        </w:rPr>
        <w:t xml:space="preserve"> </w:t>
      </w:r>
      <w:r w:rsidRPr="00BA112D">
        <w:rPr>
          <w:sz w:val="24"/>
          <w:szCs w:val="24"/>
        </w:rPr>
        <w:t xml:space="preserve">G. (1967). A </w:t>
      </w:r>
      <w:r w:rsidR="008319E6" w:rsidRPr="00BA112D">
        <w:rPr>
          <w:sz w:val="24"/>
          <w:szCs w:val="24"/>
        </w:rPr>
        <w:t>statistical theory of spatial distribution mo</w:t>
      </w:r>
      <w:r w:rsidRPr="00BA112D">
        <w:rPr>
          <w:sz w:val="24"/>
          <w:szCs w:val="24"/>
        </w:rPr>
        <w:t xml:space="preserve">dels. </w:t>
      </w:r>
      <w:r w:rsidRPr="002D5A8A">
        <w:rPr>
          <w:i/>
          <w:iCs/>
          <w:sz w:val="24"/>
          <w:szCs w:val="24"/>
        </w:rPr>
        <w:t>Transportation Research, 1</w:t>
      </w:r>
      <w:r w:rsidR="008319E6" w:rsidRPr="00BA112D">
        <w:rPr>
          <w:sz w:val="24"/>
          <w:szCs w:val="24"/>
        </w:rPr>
        <w:t>, 253–2</w:t>
      </w:r>
      <w:r w:rsidRPr="00BA112D">
        <w:rPr>
          <w:sz w:val="24"/>
          <w:szCs w:val="24"/>
        </w:rPr>
        <w:t>69.</w:t>
      </w:r>
    </w:p>
    <w:sectPr w:rsidR="002C6A44" w:rsidRPr="00BA112D" w:rsidSect="009968BB">
      <w:footerReference w:type="default" r:id="rId2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D5F5" w14:textId="77777777" w:rsidR="002140D9" w:rsidRDefault="002140D9" w:rsidP="00CD0C08">
      <w:pPr>
        <w:spacing w:after="0" w:line="240" w:lineRule="auto"/>
      </w:pPr>
      <w:r>
        <w:separator/>
      </w:r>
    </w:p>
  </w:endnote>
  <w:endnote w:type="continuationSeparator" w:id="0">
    <w:p w14:paraId="4F1ED6E5" w14:textId="77777777" w:rsidR="002140D9" w:rsidRDefault="002140D9" w:rsidP="00CD0C08">
      <w:pPr>
        <w:spacing w:after="0" w:line="240" w:lineRule="auto"/>
      </w:pPr>
      <w:r>
        <w:continuationSeparator/>
      </w:r>
    </w:p>
  </w:endnote>
  <w:endnote w:type="continuationNotice" w:id="1">
    <w:p w14:paraId="08482F46" w14:textId="77777777" w:rsidR="002140D9" w:rsidRDefault="00214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sz w:val="24"/>
        <w:szCs w:val="24"/>
      </w:rPr>
      <w:id w:val="1188334270"/>
      <w:docPartObj>
        <w:docPartGallery w:val="Page Numbers (Bottom of Page)"/>
        <w:docPartUnique/>
      </w:docPartObj>
    </w:sdtPr>
    <w:sdtContent>
      <w:p w14:paraId="7DF8B1EE" w14:textId="77777777" w:rsidR="002140D9" w:rsidRPr="00F2720D" w:rsidRDefault="002140D9" w:rsidP="00AE4777">
        <w:pPr>
          <w:pStyle w:val="a7"/>
          <w:ind w:left="720"/>
          <w:jc w:val="center"/>
          <w:rPr>
            <w:rFonts w:asciiTheme="minorBidi" w:hAnsiTheme="minorBidi"/>
            <w:sz w:val="24"/>
            <w:szCs w:val="24"/>
            <w:rtl/>
            <w:cs/>
          </w:rPr>
        </w:pPr>
        <w:r w:rsidRPr="00AE4777">
          <w:rPr>
            <w:rFonts w:asciiTheme="minorBidi" w:hAnsiTheme="minorBidi"/>
            <w:sz w:val="24"/>
            <w:szCs w:val="24"/>
          </w:rPr>
          <w:t>(</w:t>
        </w:r>
        <w:r w:rsidRPr="00AE4777">
          <w:rPr>
            <w:rFonts w:asciiTheme="minorBidi" w:hAnsiTheme="minorBidi"/>
            <w:sz w:val="24"/>
            <w:szCs w:val="24"/>
          </w:rPr>
          <w:fldChar w:fldCharType="begin"/>
        </w:r>
        <w:r w:rsidRPr="00AE4777">
          <w:rPr>
            <w:rFonts w:asciiTheme="minorBidi" w:hAnsiTheme="minorBidi"/>
            <w:sz w:val="24"/>
            <w:szCs w:val="24"/>
            <w:rtl/>
            <w:cs/>
          </w:rPr>
          <w:instrText>PAGE   \* MERGEFORMAT</w:instrText>
        </w:r>
        <w:r w:rsidRPr="00AE4777">
          <w:rPr>
            <w:rFonts w:asciiTheme="minorBidi" w:hAnsiTheme="minorBidi"/>
            <w:sz w:val="24"/>
            <w:szCs w:val="24"/>
          </w:rPr>
          <w:fldChar w:fldCharType="separate"/>
        </w:r>
        <w:r w:rsidRPr="00CB513F">
          <w:rPr>
            <w:rFonts w:asciiTheme="minorBidi" w:hAnsiTheme="minorBidi" w:cs="Arial"/>
            <w:noProof/>
            <w:sz w:val="24"/>
            <w:szCs w:val="24"/>
            <w:lang w:val="he-IL"/>
          </w:rPr>
          <w:t>2</w:t>
        </w:r>
        <w:r w:rsidRPr="00AE4777">
          <w:rPr>
            <w:rFonts w:asciiTheme="minorBidi" w:hAnsiTheme="minorBidi"/>
            <w:sz w:val="24"/>
            <w:szCs w:val="24"/>
          </w:rPr>
          <w:fldChar w:fldCharType="end"/>
        </w:r>
        <w:r w:rsidRPr="00AE4777">
          <w:rPr>
            <w:rFonts w:asciiTheme="minorBidi" w:hAnsiTheme="minorBidi"/>
            <w:sz w:val="24"/>
            <w:szCs w:val="24"/>
          </w:rPr>
          <w:t>)</w:t>
        </w:r>
        <w:r>
          <w:rPr>
            <w:rFonts w:asciiTheme="minorBidi" w:hAnsiTheme="minorBidi"/>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DA19B" w14:textId="77777777" w:rsidR="002140D9" w:rsidRDefault="002140D9" w:rsidP="00CD0C08">
      <w:pPr>
        <w:spacing w:after="0" w:line="240" w:lineRule="auto"/>
      </w:pPr>
      <w:r>
        <w:separator/>
      </w:r>
    </w:p>
  </w:footnote>
  <w:footnote w:type="continuationSeparator" w:id="0">
    <w:p w14:paraId="5F80F96A" w14:textId="77777777" w:rsidR="002140D9" w:rsidRDefault="002140D9" w:rsidP="00CD0C08">
      <w:pPr>
        <w:spacing w:after="0" w:line="240" w:lineRule="auto"/>
      </w:pPr>
      <w:r>
        <w:continuationSeparator/>
      </w:r>
    </w:p>
  </w:footnote>
  <w:footnote w:type="continuationNotice" w:id="1">
    <w:p w14:paraId="36D80EFC" w14:textId="77777777" w:rsidR="002140D9" w:rsidRDefault="002140D9">
      <w:pPr>
        <w:spacing w:after="0" w:line="240" w:lineRule="auto"/>
      </w:pPr>
    </w:p>
  </w:footnote>
  <w:footnote w:id="2">
    <w:p w14:paraId="2D8E8BF5" w14:textId="77777777" w:rsidR="002140D9" w:rsidRPr="007948B5" w:rsidRDefault="002140D9" w:rsidP="007948B5">
      <w:pPr>
        <w:pStyle w:val="a9"/>
        <w:ind w:left="227" w:hanging="227"/>
        <w:rPr>
          <w:rFonts w:asciiTheme="minorBidi" w:hAnsiTheme="minorBidi"/>
          <w:sz w:val="24"/>
          <w:szCs w:val="24"/>
          <w:lang w:val="en-US"/>
        </w:rPr>
      </w:pPr>
      <w:r w:rsidRPr="007948B5">
        <w:rPr>
          <w:rStyle w:val="ab"/>
          <w:rFonts w:asciiTheme="minorBidi" w:hAnsiTheme="minorBidi"/>
          <w:sz w:val="24"/>
          <w:szCs w:val="24"/>
        </w:rPr>
        <w:footnoteRef/>
      </w:r>
      <w:r w:rsidRPr="007948B5">
        <w:rPr>
          <w:rFonts w:asciiTheme="minorBidi" w:hAnsiTheme="minorBidi"/>
          <w:sz w:val="24"/>
          <w:szCs w:val="24"/>
        </w:rPr>
        <w:t xml:space="preserve"> </w:t>
      </w:r>
      <w:r w:rsidRPr="007948B5">
        <w:rPr>
          <w:rFonts w:asciiTheme="minorBidi" w:hAnsiTheme="minorBidi"/>
          <w:sz w:val="24"/>
          <w:szCs w:val="24"/>
        </w:rPr>
        <w:tab/>
      </w:r>
      <w:r w:rsidRPr="007948B5">
        <w:rPr>
          <w:rFonts w:asciiTheme="minorBidi" w:hAnsiTheme="minorBidi"/>
          <w:sz w:val="24"/>
          <w:szCs w:val="24"/>
          <w:lang w:val="en-US"/>
        </w:rPr>
        <w:t xml:space="preserve">The division of the territories in the Judea and Samaria Area according to the Oslo Accords. </w:t>
      </w:r>
      <w:r w:rsidRPr="007948B5">
        <w:rPr>
          <w:rFonts w:asciiTheme="minorBidi" w:hAnsiTheme="minorBidi"/>
          <w:sz w:val="24"/>
          <w:szCs w:val="24"/>
        </w:rPr>
        <w:t>Area A – areas under both civil and military Palestinian Authority control. Area B – areas under civil control of the Palestinian Authority and military control of Israel. Area C – areas under Israeli civil and military control.</w:t>
      </w:r>
    </w:p>
  </w:footnote>
  <w:footnote w:id="3">
    <w:p w14:paraId="509C0EF1" w14:textId="77777777" w:rsidR="002140D9" w:rsidRPr="007948B5" w:rsidRDefault="002140D9" w:rsidP="007948B5">
      <w:pPr>
        <w:pStyle w:val="a9"/>
        <w:ind w:left="227" w:hanging="227"/>
        <w:rPr>
          <w:rFonts w:asciiTheme="minorBidi" w:hAnsiTheme="minorBidi"/>
          <w:sz w:val="24"/>
          <w:szCs w:val="24"/>
          <w:lang w:val="en-US"/>
        </w:rPr>
      </w:pPr>
      <w:r w:rsidRPr="007948B5">
        <w:rPr>
          <w:rStyle w:val="ab"/>
          <w:rFonts w:asciiTheme="minorBidi" w:hAnsiTheme="minorBidi"/>
          <w:sz w:val="24"/>
          <w:szCs w:val="24"/>
        </w:rPr>
        <w:footnoteRef/>
      </w:r>
      <w:r w:rsidRPr="007948B5">
        <w:rPr>
          <w:rFonts w:asciiTheme="minorBidi" w:hAnsiTheme="minorBidi"/>
          <w:sz w:val="24"/>
          <w:szCs w:val="24"/>
        </w:rPr>
        <w:t xml:space="preserve"> </w:t>
      </w:r>
      <w:r w:rsidRPr="007948B5">
        <w:rPr>
          <w:rFonts w:asciiTheme="minorBidi" w:hAnsiTheme="minorBidi"/>
          <w:sz w:val="24"/>
          <w:szCs w:val="24"/>
        </w:rPr>
        <w:tab/>
      </w:r>
      <w:r w:rsidRPr="007948B5">
        <w:rPr>
          <w:rFonts w:asciiTheme="minorBidi" w:hAnsiTheme="minorBidi"/>
          <w:sz w:val="24"/>
          <w:szCs w:val="24"/>
          <w:lang w:val="en-US"/>
        </w:rPr>
        <w:t xml:space="preserve">Note that this component is a type of travel cost index (see Section 1 in Chapter </w:t>
      </w:r>
      <w:r>
        <w:rPr>
          <w:rFonts w:asciiTheme="minorBidi" w:hAnsiTheme="minorBidi"/>
          <w:sz w:val="24"/>
          <w:szCs w:val="24"/>
          <w:lang w:val="en-US"/>
        </w:rPr>
        <w: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1A4"/>
    <w:multiLevelType w:val="hybridMultilevel"/>
    <w:tmpl w:val="0B9CCAC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7FF"/>
    <w:multiLevelType w:val="hybridMultilevel"/>
    <w:tmpl w:val="32C8AC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A645791"/>
    <w:multiLevelType w:val="multilevel"/>
    <w:tmpl w:val="000044CE"/>
    <w:styleLink w:val="Style1"/>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right"/>
      <w:pPr>
        <w:ind w:left="162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3F1191"/>
    <w:multiLevelType w:val="hybridMultilevel"/>
    <w:tmpl w:val="3102A5A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92C0B"/>
    <w:multiLevelType w:val="hybridMultilevel"/>
    <w:tmpl w:val="DD5CB33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10C3028"/>
    <w:multiLevelType w:val="hybridMultilevel"/>
    <w:tmpl w:val="B2282322"/>
    <w:lvl w:ilvl="0" w:tplc="1FB23F5E">
      <w:start w:val="1"/>
      <w:numFmt w:val="upp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B375AF"/>
    <w:multiLevelType w:val="hybridMultilevel"/>
    <w:tmpl w:val="A8765118"/>
    <w:lvl w:ilvl="0" w:tplc="5FD03A9C">
      <w:start w:val="1"/>
      <w:numFmt w:val="upperLetter"/>
      <w:pStyle w:val="1"/>
      <w:lvlText w:val="%1."/>
      <w:lvlJc w:val="left"/>
      <w:pPr>
        <w:ind w:left="720" w:hanging="360"/>
      </w:pPr>
      <w:rPr>
        <w:rFonts w:hint="default"/>
      </w:rPr>
    </w:lvl>
    <w:lvl w:ilvl="1" w:tplc="B6C097F4">
      <w:start w:val="1"/>
      <w:numFmt w:val="decimal"/>
      <w:lvlText w:val="%2)"/>
      <w:lvlJc w:val="left"/>
      <w:pPr>
        <w:ind w:left="1500" w:hanging="420"/>
      </w:pPr>
      <w:rPr>
        <w:rFonts w:hint="default"/>
      </w:rPr>
    </w:lvl>
    <w:lvl w:ilvl="2" w:tplc="837CC38C">
      <w:start w:val="1"/>
      <w:numFmt w:val="decimal"/>
      <w:lvlText w:val="(%3)"/>
      <w:lvlJc w:val="left"/>
      <w:pPr>
        <w:ind w:left="2835" w:hanging="8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17F7C"/>
    <w:multiLevelType w:val="hybridMultilevel"/>
    <w:tmpl w:val="2FB6BE94"/>
    <w:lvl w:ilvl="0" w:tplc="04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EF70ED0"/>
    <w:multiLevelType w:val="hybridMultilevel"/>
    <w:tmpl w:val="D0920F38"/>
    <w:lvl w:ilvl="0" w:tplc="65060C38">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05246"/>
    <w:multiLevelType w:val="hybridMultilevel"/>
    <w:tmpl w:val="19263DB8"/>
    <w:lvl w:ilvl="0" w:tplc="7438F144">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0278E"/>
    <w:multiLevelType w:val="hybridMultilevel"/>
    <w:tmpl w:val="FF98ED44"/>
    <w:lvl w:ilvl="0" w:tplc="60E816A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D200F"/>
    <w:multiLevelType w:val="hybridMultilevel"/>
    <w:tmpl w:val="2FB6BE94"/>
    <w:lvl w:ilvl="0" w:tplc="04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4B11891"/>
    <w:multiLevelType w:val="hybridMultilevel"/>
    <w:tmpl w:val="32C8AC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92C0A82"/>
    <w:multiLevelType w:val="hybridMultilevel"/>
    <w:tmpl w:val="A3569834"/>
    <w:lvl w:ilvl="0" w:tplc="0C9AB216">
      <w:start w:val="1"/>
      <w:numFmt w:val="decimal"/>
      <w:lvlText w:val="4.%1"/>
      <w:lvlJc w:val="left"/>
      <w:pPr>
        <w:ind w:left="720" w:hanging="360"/>
      </w:pPr>
      <w:rPr>
        <w:rFonts w:cs="Arial" w:hint="default"/>
        <w:bCs/>
        <w:iCs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C6B4C"/>
    <w:multiLevelType w:val="hybridMultilevel"/>
    <w:tmpl w:val="B178D76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0">
    <w:nsid w:val="40472DC5"/>
    <w:multiLevelType w:val="hybridMultilevel"/>
    <w:tmpl w:val="5254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621EA"/>
    <w:multiLevelType w:val="hybridMultilevel"/>
    <w:tmpl w:val="AA7491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F330F"/>
    <w:multiLevelType w:val="multilevel"/>
    <w:tmpl w:val="0BB8E106"/>
    <w:lvl w:ilvl="0">
      <w:start w:val="1"/>
      <w:numFmt w:val="decimal"/>
      <w:pStyle w:val="2"/>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4C257B5E"/>
    <w:multiLevelType w:val="hybridMultilevel"/>
    <w:tmpl w:val="10FCEAE0"/>
    <w:lvl w:ilvl="0" w:tplc="EEB8CE16">
      <w:start w:val="1"/>
      <w:numFmt w:val="decimal"/>
      <w:lvlText w:val="1.%1"/>
      <w:lvlJc w:val="left"/>
      <w:pPr>
        <w:ind w:left="720" w:hanging="360"/>
      </w:pPr>
      <w:rPr>
        <w:rFonts w:cs="Arial" w:hint="default"/>
        <w:bCs/>
        <w:iCs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31DEC"/>
    <w:multiLevelType w:val="hybridMultilevel"/>
    <w:tmpl w:val="4672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9385A"/>
    <w:multiLevelType w:val="hybridMultilevel"/>
    <w:tmpl w:val="23F60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6771E"/>
    <w:multiLevelType w:val="hybridMultilevel"/>
    <w:tmpl w:val="9AE6D342"/>
    <w:lvl w:ilvl="0" w:tplc="6068D88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69C74724"/>
    <w:multiLevelType w:val="hybridMultilevel"/>
    <w:tmpl w:val="C2CA5044"/>
    <w:lvl w:ilvl="0" w:tplc="99F6FE12">
      <w:start w:val="1"/>
      <w:numFmt w:val="decimal"/>
      <w:lvlText w:val="(%1)"/>
      <w:lvlJc w:val="left"/>
      <w:pPr>
        <w:ind w:left="718" w:hanging="360"/>
      </w:pPr>
      <w:rPr>
        <w:rFonts w:hint="default"/>
      </w:r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15:restartNumberingAfterBreak="0">
    <w:nsid w:val="76E7496A"/>
    <w:multiLevelType w:val="hybridMultilevel"/>
    <w:tmpl w:val="FC8AF9C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740FB"/>
    <w:multiLevelType w:val="hybridMultilevel"/>
    <w:tmpl w:val="56F0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17613"/>
    <w:multiLevelType w:val="hybridMultilevel"/>
    <w:tmpl w:val="32C8AC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7DF45BE6"/>
    <w:multiLevelType w:val="hybridMultilevel"/>
    <w:tmpl w:val="B37658DA"/>
    <w:lvl w:ilvl="0" w:tplc="6E144F10">
      <w:start w:val="1"/>
      <w:numFmt w:val="decimal"/>
      <w:lvlText w:val="2.%1"/>
      <w:lvlJc w:val="left"/>
      <w:pPr>
        <w:ind w:left="720" w:hanging="360"/>
      </w:pPr>
      <w:rPr>
        <w:rFonts w:cs="Arial" w:hint="default"/>
        <w:bCs/>
        <w:iCs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87DC3"/>
    <w:multiLevelType w:val="hybridMultilevel"/>
    <w:tmpl w:val="2C2CF988"/>
    <w:lvl w:ilvl="0" w:tplc="04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5"/>
  </w:num>
  <w:num w:numId="2">
    <w:abstractNumId w:val="25"/>
  </w:num>
  <w:num w:numId="3">
    <w:abstractNumId w:val="14"/>
  </w:num>
  <w:num w:numId="4">
    <w:abstractNumId w:val="3"/>
  </w:num>
  <w:num w:numId="5">
    <w:abstractNumId w:val="7"/>
  </w:num>
  <w:num w:numId="6">
    <w:abstractNumId w:val="11"/>
  </w:num>
  <w:num w:numId="7">
    <w:abstractNumId w:val="21"/>
  </w:num>
  <w:num w:numId="8">
    <w:abstractNumId w:val="9"/>
  </w:num>
  <w:num w:numId="9">
    <w:abstractNumId w:val="8"/>
  </w:num>
  <w:num w:numId="10">
    <w:abstractNumId w:val="23"/>
  </w:num>
  <w:num w:numId="11">
    <w:abstractNumId w:val="27"/>
  </w:num>
  <w:num w:numId="12">
    <w:abstractNumId w:val="15"/>
  </w:num>
  <w:num w:numId="13">
    <w:abstractNumId w:val="24"/>
  </w:num>
  <w:num w:numId="14">
    <w:abstractNumId w:val="4"/>
  </w:num>
  <w:num w:numId="15">
    <w:abstractNumId w:val="19"/>
  </w:num>
  <w:num w:numId="16">
    <w:abstractNumId w:val="6"/>
  </w:num>
  <w:num w:numId="17">
    <w:abstractNumId w:val="17"/>
  </w:num>
  <w:num w:numId="18">
    <w:abstractNumId w:val="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3"/>
  </w:num>
  <w:num w:numId="25">
    <w:abstractNumId w:val="18"/>
  </w:num>
  <w:num w:numId="26">
    <w:abstractNumId w:val="20"/>
  </w:num>
  <w:num w:numId="27">
    <w:abstractNumId w:val="16"/>
  </w:num>
  <w:num w:numId="28">
    <w:abstractNumId w:val="10"/>
  </w:num>
  <w:num w:numId="29">
    <w:abstractNumId w:val="1"/>
  </w:num>
  <w:num w:numId="30">
    <w:abstractNumId w:val="12"/>
  </w:num>
  <w:num w:numId="31">
    <w:abstractNumId w:val="0"/>
  </w:num>
  <w:num w:numId="32">
    <w:abstractNumId w:val="22"/>
  </w:num>
  <w:num w:numId="33">
    <w:abstractNumId w:val="17"/>
  </w:num>
  <w:num w:numId="34">
    <w:abstractNumId w:val="17"/>
  </w:num>
  <w:num w:numId="35">
    <w:abstractNumId w:val="17"/>
  </w:num>
  <w:num w:numId="36">
    <w:abstractNumId w:val="17"/>
  </w:num>
  <w:num w:numId="3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6"/>
  <w:drawingGridVerticalSpacing w:val="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FA"/>
    <w:rsid w:val="0000077A"/>
    <w:rsid w:val="0000153A"/>
    <w:rsid w:val="0000194B"/>
    <w:rsid w:val="00004C91"/>
    <w:rsid w:val="00010C58"/>
    <w:rsid w:val="00011086"/>
    <w:rsid w:val="00011C3B"/>
    <w:rsid w:val="0001350E"/>
    <w:rsid w:val="00013FC3"/>
    <w:rsid w:val="00020D59"/>
    <w:rsid w:val="000236A6"/>
    <w:rsid w:val="00024957"/>
    <w:rsid w:val="000320C0"/>
    <w:rsid w:val="00033392"/>
    <w:rsid w:val="0004118A"/>
    <w:rsid w:val="00044328"/>
    <w:rsid w:val="00052324"/>
    <w:rsid w:val="00054454"/>
    <w:rsid w:val="000569A5"/>
    <w:rsid w:val="000569DE"/>
    <w:rsid w:val="00057F45"/>
    <w:rsid w:val="00062302"/>
    <w:rsid w:val="00065AEC"/>
    <w:rsid w:val="000712E4"/>
    <w:rsid w:val="00077563"/>
    <w:rsid w:val="00077EE0"/>
    <w:rsid w:val="000847E9"/>
    <w:rsid w:val="0008683D"/>
    <w:rsid w:val="00086CE7"/>
    <w:rsid w:val="00092B56"/>
    <w:rsid w:val="000939AE"/>
    <w:rsid w:val="000A087E"/>
    <w:rsid w:val="000A1D9B"/>
    <w:rsid w:val="000A2257"/>
    <w:rsid w:val="000B040E"/>
    <w:rsid w:val="000B0C41"/>
    <w:rsid w:val="000B3846"/>
    <w:rsid w:val="000B4901"/>
    <w:rsid w:val="000B51B8"/>
    <w:rsid w:val="000C2400"/>
    <w:rsid w:val="000C2463"/>
    <w:rsid w:val="000C2706"/>
    <w:rsid w:val="000D025D"/>
    <w:rsid w:val="000D3855"/>
    <w:rsid w:val="000D616F"/>
    <w:rsid w:val="000E2B59"/>
    <w:rsid w:val="000E3577"/>
    <w:rsid w:val="000E4FC9"/>
    <w:rsid w:val="000E5BF0"/>
    <w:rsid w:val="000E649A"/>
    <w:rsid w:val="000F15BA"/>
    <w:rsid w:val="00105812"/>
    <w:rsid w:val="00120E7F"/>
    <w:rsid w:val="00121CA3"/>
    <w:rsid w:val="00134E40"/>
    <w:rsid w:val="001402DE"/>
    <w:rsid w:val="00143E13"/>
    <w:rsid w:val="00153787"/>
    <w:rsid w:val="00153958"/>
    <w:rsid w:val="0015587A"/>
    <w:rsid w:val="00157AD2"/>
    <w:rsid w:val="00160013"/>
    <w:rsid w:val="001602AB"/>
    <w:rsid w:val="00162F2D"/>
    <w:rsid w:val="0016722B"/>
    <w:rsid w:val="00171867"/>
    <w:rsid w:val="00172193"/>
    <w:rsid w:val="001837AB"/>
    <w:rsid w:val="00193F14"/>
    <w:rsid w:val="001A22B5"/>
    <w:rsid w:val="001A2E2C"/>
    <w:rsid w:val="001A4415"/>
    <w:rsid w:val="001A5714"/>
    <w:rsid w:val="001A6F76"/>
    <w:rsid w:val="001B0A78"/>
    <w:rsid w:val="001B25B5"/>
    <w:rsid w:val="001B511B"/>
    <w:rsid w:val="001C3BBC"/>
    <w:rsid w:val="001C5D0C"/>
    <w:rsid w:val="001C7068"/>
    <w:rsid w:val="001D58CC"/>
    <w:rsid w:val="001E0688"/>
    <w:rsid w:val="001E3A8D"/>
    <w:rsid w:val="001E5B0E"/>
    <w:rsid w:val="001F3FB7"/>
    <w:rsid w:val="002017D3"/>
    <w:rsid w:val="002140D9"/>
    <w:rsid w:val="0021481B"/>
    <w:rsid w:val="00215603"/>
    <w:rsid w:val="0021684F"/>
    <w:rsid w:val="002209A8"/>
    <w:rsid w:val="002246A1"/>
    <w:rsid w:val="00230FB8"/>
    <w:rsid w:val="00231C68"/>
    <w:rsid w:val="00233A3F"/>
    <w:rsid w:val="00235CF0"/>
    <w:rsid w:val="002373BC"/>
    <w:rsid w:val="00242CB2"/>
    <w:rsid w:val="00246E20"/>
    <w:rsid w:val="00247795"/>
    <w:rsid w:val="00254513"/>
    <w:rsid w:val="00256F82"/>
    <w:rsid w:val="00261451"/>
    <w:rsid w:val="0026394F"/>
    <w:rsid w:val="002670C4"/>
    <w:rsid w:val="00272142"/>
    <w:rsid w:val="00274FFF"/>
    <w:rsid w:val="00283E41"/>
    <w:rsid w:val="00284ECB"/>
    <w:rsid w:val="00291448"/>
    <w:rsid w:val="00294B11"/>
    <w:rsid w:val="00296332"/>
    <w:rsid w:val="002A0016"/>
    <w:rsid w:val="002A02D8"/>
    <w:rsid w:val="002B1243"/>
    <w:rsid w:val="002B2345"/>
    <w:rsid w:val="002B6473"/>
    <w:rsid w:val="002B6749"/>
    <w:rsid w:val="002C0EA3"/>
    <w:rsid w:val="002C2D41"/>
    <w:rsid w:val="002C6A44"/>
    <w:rsid w:val="002D0708"/>
    <w:rsid w:val="002D5961"/>
    <w:rsid w:val="002D5A8A"/>
    <w:rsid w:val="002D7197"/>
    <w:rsid w:val="002D7714"/>
    <w:rsid w:val="002E6CA4"/>
    <w:rsid w:val="002E73E0"/>
    <w:rsid w:val="002F17FB"/>
    <w:rsid w:val="0030058A"/>
    <w:rsid w:val="0030589E"/>
    <w:rsid w:val="00305ABA"/>
    <w:rsid w:val="00307D83"/>
    <w:rsid w:val="00315224"/>
    <w:rsid w:val="0031584A"/>
    <w:rsid w:val="00325353"/>
    <w:rsid w:val="003324A8"/>
    <w:rsid w:val="0033707D"/>
    <w:rsid w:val="003537B2"/>
    <w:rsid w:val="00353A03"/>
    <w:rsid w:val="00353CD1"/>
    <w:rsid w:val="00354880"/>
    <w:rsid w:val="003613A5"/>
    <w:rsid w:val="00362676"/>
    <w:rsid w:val="00367C88"/>
    <w:rsid w:val="00367D04"/>
    <w:rsid w:val="00373F61"/>
    <w:rsid w:val="003750E2"/>
    <w:rsid w:val="003839F7"/>
    <w:rsid w:val="0038718D"/>
    <w:rsid w:val="0039145B"/>
    <w:rsid w:val="00396A37"/>
    <w:rsid w:val="003977A1"/>
    <w:rsid w:val="003A3ED8"/>
    <w:rsid w:val="003A580F"/>
    <w:rsid w:val="003B41A4"/>
    <w:rsid w:val="003B6766"/>
    <w:rsid w:val="003C2601"/>
    <w:rsid w:val="003C5F8D"/>
    <w:rsid w:val="003D0129"/>
    <w:rsid w:val="003D11B6"/>
    <w:rsid w:val="003D3996"/>
    <w:rsid w:val="003D4981"/>
    <w:rsid w:val="003D4E9B"/>
    <w:rsid w:val="003D6B96"/>
    <w:rsid w:val="003E1006"/>
    <w:rsid w:val="003E331E"/>
    <w:rsid w:val="003E4723"/>
    <w:rsid w:val="003F6046"/>
    <w:rsid w:val="00400726"/>
    <w:rsid w:val="00400C2F"/>
    <w:rsid w:val="00403A25"/>
    <w:rsid w:val="0040426C"/>
    <w:rsid w:val="004077FE"/>
    <w:rsid w:val="00407B2B"/>
    <w:rsid w:val="004129E8"/>
    <w:rsid w:val="00416042"/>
    <w:rsid w:val="00416DB8"/>
    <w:rsid w:val="00422405"/>
    <w:rsid w:val="0042766D"/>
    <w:rsid w:val="004279E9"/>
    <w:rsid w:val="004310A9"/>
    <w:rsid w:val="00434BAC"/>
    <w:rsid w:val="00434C8A"/>
    <w:rsid w:val="00434F5E"/>
    <w:rsid w:val="00435049"/>
    <w:rsid w:val="00435B25"/>
    <w:rsid w:val="00443F8C"/>
    <w:rsid w:val="004509D4"/>
    <w:rsid w:val="00451501"/>
    <w:rsid w:val="00452CCE"/>
    <w:rsid w:val="00456D98"/>
    <w:rsid w:val="004576AD"/>
    <w:rsid w:val="00461347"/>
    <w:rsid w:val="00463A9F"/>
    <w:rsid w:val="00464836"/>
    <w:rsid w:val="00473A45"/>
    <w:rsid w:val="0047619F"/>
    <w:rsid w:val="0048373C"/>
    <w:rsid w:val="0048426D"/>
    <w:rsid w:val="00484FE4"/>
    <w:rsid w:val="00490A0F"/>
    <w:rsid w:val="00491B1A"/>
    <w:rsid w:val="0049393E"/>
    <w:rsid w:val="00493A1C"/>
    <w:rsid w:val="00494431"/>
    <w:rsid w:val="00494630"/>
    <w:rsid w:val="004951F0"/>
    <w:rsid w:val="004A34A2"/>
    <w:rsid w:val="004A3AB2"/>
    <w:rsid w:val="004A79B7"/>
    <w:rsid w:val="004B58C3"/>
    <w:rsid w:val="004C3047"/>
    <w:rsid w:val="004C7307"/>
    <w:rsid w:val="004C7E4B"/>
    <w:rsid w:val="004D2B96"/>
    <w:rsid w:val="004D2E8C"/>
    <w:rsid w:val="004D3AA6"/>
    <w:rsid w:val="004D7084"/>
    <w:rsid w:val="004E0635"/>
    <w:rsid w:val="004E0863"/>
    <w:rsid w:val="004E67DA"/>
    <w:rsid w:val="004E6E5E"/>
    <w:rsid w:val="004F029C"/>
    <w:rsid w:val="004F3315"/>
    <w:rsid w:val="004F5FD1"/>
    <w:rsid w:val="004F6E26"/>
    <w:rsid w:val="004F7DD8"/>
    <w:rsid w:val="0050222C"/>
    <w:rsid w:val="00506FA0"/>
    <w:rsid w:val="00510687"/>
    <w:rsid w:val="00510AFF"/>
    <w:rsid w:val="00514748"/>
    <w:rsid w:val="005174B7"/>
    <w:rsid w:val="0053129C"/>
    <w:rsid w:val="00533D2C"/>
    <w:rsid w:val="00533DCB"/>
    <w:rsid w:val="00535103"/>
    <w:rsid w:val="00535401"/>
    <w:rsid w:val="00540511"/>
    <w:rsid w:val="00542F63"/>
    <w:rsid w:val="0054548E"/>
    <w:rsid w:val="0055087A"/>
    <w:rsid w:val="00551FFD"/>
    <w:rsid w:val="00555387"/>
    <w:rsid w:val="00555626"/>
    <w:rsid w:val="00556101"/>
    <w:rsid w:val="00564A37"/>
    <w:rsid w:val="0056674E"/>
    <w:rsid w:val="00574CB6"/>
    <w:rsid w:val="00576506"/>
    <w:rsid w:val="0059270A"/>
    <w:rsid w:val="005A5D73"/>
    <w:rsid w:val="005A7220"/>
    <w:rsid w:val="005A7B0A"/>
    <w:rsid w:val="005B3A66"/>
    <w:rsid w:val="005B4D4C"/>
    <w:rsid w:val="005B5CC6"/>
    <w:rsid w:val="005C6955"/>
    <w:rsid w:val="005D0963"/>
    <w:rsid w:val="005E369C"/>
    <w:rsid w:val="005E4857"/>
    <w:rsid w:val="005E753B"/>
    <w:rsid w:val="005E7A73"/>
    <w:rsid w:val="005F3B4F"/>
    <w:rsid w:val="005F7B27"/>
    <w:rsid w:val="00617B74"/>
    <w:rsid w:val="006272CC"/>
    <w:rsid w:val="006333B3"/>
    <w:rsid w:val="00634FE5"/>
    <w:rsid w:val="00640A23"/>
    <w:rsid w:val="00640D06"/>
    <w:rsid w:val="00642056"/>
    <w:rsid w:val="00642ECB"/>
    <w:rsid w:val="00650B47"/>
    <w:rsid w:val="00653157"/>
    <w:rsid w:val="00653533"/>
    <w:rsid w:val="0066103C"/>
    <w:rsid w:val="006615F6"/>
    <w:rsid w:val="0066245C"/>
    <w:rsid w:val="00681B4D"/>
    <w:rsid w:val="0068273E"/>
    <w:rsid w:val="00684F96"/>
    <w:rsid w:val="006870E3"/>
    <w:rsid w:val="006874F7"/>
    <w:rsid w:val="00690ACF"/>
    <w:rsid w:val="00691223"/>
    <w:rsid w:val="00695AEE"/>
    <w:rsid w:val="006A0CA4"/>
    <w:rsid w:val="006A12C8"/>
    <w:rsid w:val="006A49FE"/>
    <w:rsid w:val="006B1936"/>
    <w:rsid w:val="006B28BC"/>
    <w:rsid w:val="006B31D4"/>
    <w:rsid w:val="006B3DF4"/>
    <w:rsid w:val="006B470E"/>
    <w:rsid w:val="006B491F"/>
    <w:rsid w:val="006C103A"/>
    <w:rsid w:val="006D1A1F"/>
    <w:rsid w:val="006D4DF5"/>
    <w:rsid w:val="006E030B"/>
    <w:rsid w:val="006F33ED"/>
    <w:rsid w:val="006F3D4A"/>
    <w:rsid w:val="006F6FC0"/>
    <w:rsid w:val="00703F38"/>
    <w:rsid w:val="007062CD"/>
    <w:rsid w:val="00714A60"/>
    <w:rsid w:val="007159B4"/>
    <w:rsid w:val="00716499"/>
    <w:rsid w:val="00717B74"/>
    <w:rsid w:val="00723E50"/>
    <w:rsid w:val="00724BE2"/>
    <w:rsid w:val="00732A5D"/>
    <w:rsid w:val="00735354"/>
    <w:rsid w:val="007451CF"/>
    <w:rsid w:val="00745D35"/>
    <w:rsid w:val="00752013"/>
    <w:rsid w:val="0076216D"/>
    <w:rsid w:val="007633C5"/>
    <w:rsid w:val="00767BBD"/>
    <w:rsid w:val="00767EBE"/>
    <w:rsid w:val="0077021B"/>
    <w:rsid w:val="0077301B"/>
    <w:rsid w:val="00774C28"/>
    <w:rsid w:val="00775CEC"/>
    <w:rsid w:val="007806BA"/>
    <w:rsid w:val="00782129"/>
    <w:rsid w:val="0078260D"/>
    <w:rsid w:val="00787ADF"/>
    <w:rsid w:val="00787E18"/>
    <w:rsid w:val="0079207F"/>
    <w:rsid w:val="007948B5"/>
    <w:rsid w:val="007A0081"/>
    <w:rsid w:val="007A0477"/>
    <w:rsid w:val="007A1742"/>
    <w:rsid w:val="007A668D"/>
    <w:rsid w:val="007A7F5E"/>
    <w:rsid w:val="007B14EF"/>
    <w:rsid w:val="007B162A"/>
    <w:rsid w:val="007C00E3"/>
    <w:rsid w:val="007C0619"/>
    <w:rsid w:val="007C1007"/>
    <w:rsid w:val="007C1605"/>
    <w:rsid w:val="007C19EC"/>
    <w:rsid w:val="007C524E"/>
    <w:rsid w:val="007C641F"/>
    <w:rsid w:val="007C6932"/>
    <w:rsid w:val="007D064C"/>
    <w:rsid w:val="007D3A21"/>
    <w:rsid w:val="007D75C2"/>
    <w:rsid w:val="007E00BA"/>
    <w:rsid w:val="007E190B"/>
    <w:rsid w:val="007E3D02"/>
    <w:rsid w:val="007E6253"/>
    <w:rsid w:val="007E631B"/>
    <w:rsid w:val="007E6F84"/>
    <w:rsid w:val="007F1048"/>
    <w:rsid w:val="007F1B15"/>
    <w:rsid w:val="007F35DC"/>
    <w:rsid w:val="007F3F31"/>
    <w:rsid w:val="007F5FE4"/>
    <w:rsid w:val="00804832"/>
    <w:rsid w:val="00804AFE"/>
    <w:rsid w:val="00805F3D"/>
    <w:rsid w:val="0080684D"/>
    <w:rsid w:val="008128F8"/>
    <w:rsid w:val="00812F9D"/>
    <w:rsid w:val="00816441"/>
    <w:rsid w:val="00816F65"/>
    <w:rsid w:val="008205C9"/>
    <w:rsid w:val="008223C7"/>
    <w:rsid w:val="00822DB7"/>
    <w:rsid w:val="00823ECE"/>
    <w:rsid w:val="0082625B"/>
    <w:rsid w:val="008301AD"/>
    <w:rsid w:val="008306A2"/>
    <w:rsid w:val="008319E6"/>
    <w:rsid w:val="00832223"/>
    <w:rsid w:val="00837DA8"/>
    <w:rsid w:val="008466EB"/>
    <w:rsid w:val="00853B7D"/>
    <w:rsid w:val="00856BDE"/>
    <w:rsid w:val="0086189C"/>
    <w:rsid w:val="008732D0"/>
    <w:rsid w:val="0087442E"/>
    <w:rsid w:val="00877473"/>
    <w:rsid w:val="008808AD"/>
    <w:rsid w:val="00886756"/>
    <w:rsid w:val="00887703"/>
    <w:rsid w:val="00887B9D"/>
    <w:rsid w:val="008925F9"/>
    <w:rsid w:val="008935C1"/>
    <w:rsid w:val="00893D76"/>
    <w:rsid w:val="008A3C6C"/>
    <w:rsid w:val="008A5C33"/>
    <w:rsid w:val="008A6483"/>
    <w:rsid w:val="008B6450"/>
    <w:rsid w:val="008C0981"/>
    <w:rsid w:val="008D267C"/>
    <w:rsid w:val="008D5A2E"/>
    <w:rsid w:val="008E4382"/>
    <w:rsid w:val="008E7C44"/>
    <w:rsid w:val="008F197F"/>
    <w:rsid w:val="008F1B74"/>
    <w:rsid w:val="008F6BBA"/>
    <w:rsid w:val="0090304D"/>
    <w:rsid w:val="00916940"/>
    <w:rsid w:val="009174E4"/>
    <w:rsid w:val="00922F6D"/>
    <w:rsid w:val="00925245"/>
    <w:rsid w:val="009271C4"/>
    <w:rsid w:val="009306F4"/>
    <w:rsid w:val="00931379"/>
    <w:rsid w:val="009421E8"/>
    <w:rsid w:val="00943063"/>
    <w:rsid w:val="00943085"/>
    <w:rsid w:val="00957864"/>
    <w:rsid w:val="009615A2"/>
    <w:rsid w:val="0096329B"/>
    <w:rsid w:val="00966D34"/>
    <w:rsid w:val="00972986"/>
    <w:rsid w:val="0098423D"/>
    <w:rsid w:val="00985D78"/>
    <w:rsid w:val="00991622"/>
    <w:rsid w:val="00993579"/>
    <w:rsid w:val="00994FF1"/>
    <w:rsid w:val="009955A2"/>
    <w:rsid w:val="0099640F"/>
    <w:rsid w:val="009968BB"/>
    <w:rsid w:val="009A0D0C"/>
    <w:rsid w:val="009A3737"/>
    <w:rsid w:val="009A541C"/>
    <w:rsid w:val="009B0111"/>
    <w:rsid w:val="009B6EA5"/>
    <w:rsid w:val="009C1939"/>
    <w:rsid w:val="009C2776"/>
    <w:rsid w:val="009C5A3C"/>
    <w:rsid w:val="009C5B93"/>
    <w:rsid w:val="009D07C8"/>
    <w:rsid w:val="009D15DC"/>
    <w:rsid w:val="009D242B"/>
    <w:rsid w:val="009D5E35"/>
    <w:rsid w:val="009D72D6"/>
    <w:rsid w:val="009E08E4"/>
    <w:rsid w:val="009E30EF"/>
    <w:rsid w:val="009E6003"/>
    <w:rsid w:val="009F2774"/>
    <w:rsid w:val="009F4F10"/>
    <w:rsid w:val="00A034FA"/>
    <w:rsid w:val="00A04B1D"/>
    <w:rsid w:val="00A07C86"/>
    <w:rsid w:val="00A155D0"/>
    <w:rsid w:val="00A156F0"/>
    <w:rsid w:val="00A24098"/>
    <w:rsid w:val="00A24F92"/>
    <w:rsid w:val="00A3381E"/>
    <w:rsid w:val="00A34507"/>
    <w:rsid w:val="00A35857"/>
    <w:rsid w:val="00A517C4"/>
    <w:rsid w:val="00A527C5"/>
    <w:rsid w:val="00A6533B"/>
    <w:rsid w:val="00A67C4B"/>
    <w:rsid w:val="00A70362"/>
    <w:rsid w:val="00A73746"/>
    <w:rsid w:val="00A7608B"/>
    <w:rsid w:val="00A77114"/>
    <w:rsid w:val="00A81F65"/>
    <w:rsid w:val="00A833ED"/>
    <w:rsid w:val="00A85205"/>
    <w:rsid w:val="00A86C0A"/>
    <w:rsid w:val="00A90548"/>
    <w:rsid w:val="00A90D73"/>
    <w:rsid w:val="00A9264D"/>
    <w:rsid w:val="00A94A6E"/>
    <w:rsid w:val="00AA0386"/>
    <w:rsid w:val="00AA74EE"/>
    <w:rsid w:val="00AB49C4"/>
    <w:rsid w:val="00AC3D01"/>
    <w:rsid w:val="00AD3591"/>
    <w:rsid w:val="00AD4D87"/>
    <w:rsid w:val="00AE4777"/>
    <w:rsid w:val="00AF0774"/>
    <w:rsid w:val="00AF1B5A"/>
    <w:rsid w:val="00AF2754"/>
    <w:rsid w:val="00AF4A52"/>
    <w:rsid w:val="00AF6034"/>
    <w:rsid w:val="00B014E6"/>
    <w:rsid w:val="00B03284"/>
    <w:rsid w:val="00B05E2A"/>
    <w:rsid w:val="00B06531"/>
    <w:rsid w:val="00B06763"/>
    <w:rsid w:val="00B153A3"/>
    <w:rsid w:val="00B161F9"/>
    <w:rsid w:val="00B20ED5"/>
    <w:rsid w:val="00B245E7"/>
    <w:rsid w:val="00B317EA"/>
    <w:rsid w:val="00B335DC"/>
    <w:rsid w:val="00B336B0"/>
    <w:rsid w:val="00B33A77"/>
    <w:rsid w:val="00B4150B"/>
    <w:rsid w:val="00B441F7"/>
    <w:rsid w:val="00B4425D"/>
    <w:rsid w:val="00B46825"/>
    <w:rsid w:val="00B5063D"/>
    <w:rsid w:val="00B50F59"/>
    <w:rsid w:val="00B5716B"/>
    <w:rsid w:val="00B61FAF"/>
    <w:rsid w:val="00B628E7"/>
    <w:rsid w:val="00B62FF2"/>
    <w:rsid w:val="00B71047"/>
    <w:rsid w:val="00B71AB5"/>
    <w:rsid w:val="00B721BC"/>
    <w:rsid w:val="00B72F7E"/>
    <w:rsid w:val="00B75F7A"/>
    <w:rsid w:val="00B81FBE"/>
    <w:rsid w:val="00B82699"/>
    <w:rsid w:val="00B87920"/>
    <w:rsid w:val="00B9097F"/>
    <w:rsid w:val="00B929B8"/>
    <w:rsid w:val="00B97D64"/>
    <w:rsid w:val="00BA0200"/>
    <w:rsid w:val="00BA112D"/>
    <w:rsid w:val="00BA60F0"/>
    <w:rsid w:val="00BA7EC2"/>
    <w:rsid w:val="00BB59EB"/>
    <w:rsid w:val="00BC1D5D"/>
    <w:rsid w:val="00BC75DE"/>
    <w:rsid w:val="00BC771E"/>
    <w:rsid w:val="00BD761A"/>
    <w:rsid w:val="00BE0C56"/>
    <w:rsid w:val="00BE4338"/>
    <w:rsid w:val="00BF11C9"/>
    <w:rsid w:val="00BF1934"/>
    <w:rsid w:val="00BF22DF"/>
    <w:rsid w:val="00BF232C"/>
    <w:rsid w:val="00BF3D0E"/>
    <w:rsid w:val="00BF779B"/>
    <w:rsid w:val="00BF78D6"/>
    <w:rsid w:val="00C01ED6"/>
    <w:rsid w:val="00C03E49"/>
    <w:rsid w:val="00C1293E"/>
    <w:rsid w:val="00C12D77"/>
    <w:rsid w:val="00C16517"/>
    <w:rsid w:val="00C22A80"/>
    <w:rsid w:val="00C230AA"/>
    <w:rsid w:val="00C302B0"/>
    <w:rsid w:val="00C315B9"/>
    <w:rsid w:val="00C33750"/>
    <w:rsid w:val="00C456BC"/>
    <w:rsid w:val="00C54761"/>
    <w:rsid w:val="00C5698B"/>
    <w:rsid w:val="00C56C2B"/>
    <w:rsid w:val="00C60E98"/>
    <w:rsid w:val="00C62C51"/>
    <w:rsid w:val="00C63A37"/>
    <w:rsid w:val="00C64505"/>
    <w:rsid w:val="00C64791"/>
    <w:rsid w:val="00C67B86"/>
    <w:rsid w:val="00C75BD0"/>
    <w:rsid w:val="00C75FA2"/>
    <w:rsid w:val="00C76BEF"/>
    <w:rsid w:val="00C90C14"/>
    <w:rsid w:val="00C92CE9"/>
    <w:rsid w:val="00CA274D"/>
    <w:rsid w:val="00CA405C"/>
    <w:rsid w:val="00CA4DCF"/>
    <w:rsid w:val="00CB0370"/>
    <w:rsid w:val="00CB05DF"/>
    <w:rsid w:val="00CB0F54"/>
    <w:rsid w:val="00CB513F"/>
    <w:rsid w:val="00CB58B7"/>
    <w:rsid w:val="00CB654E"/>
    <w:rsid w:val="00CB7E63"/>
    <w:rsid w:val="00CC2451"/>
    <w:rsid w:val="00CC4319"/>
    <w:rsid w:val="00CC5486"/>
    <w:rsid w:val="00CC55F1"/>
    <w:rsid w:val="00CC6F21"/>
    <w:rsid w:val="00CC76A3"/>
    <w:rsid w:val="00CD0C08"/>
    <w:rsid w:val="00CD41F0"/>
    <w:rsid w:val="00CD61A1"/>
    <w:rsid w:val="00CE1B12"/>
    <w:rsid w:val="00CE3860"/>
    <w:rsid w:val="00CE4C21"/>
    <w:rsid w:val="00CE7C7F"/>
    <w:rsid w:val="00CF519A"/>
    <w:rsid w:val="00D05943"/>
    <w:rsid w:val="00D0677C"/>
    <w:rsid w:val="00D067D7"/>
    <w:rsid w:val="00D06BA4"/>
    <w:rsid w:val="00D1266B"/>
    <w:rsid w:val="00D14EE0"/>
    <w:rsid w:val="00D1537C"/>
    <w:rsid w:val="00D207AA"/>
    <w:rsid w:val="00D21E3D"/>
    <w:rsid w:val="00D24B99"/>
    <w:rsid w:val="00D2661A"/>
    <w:rsid w:val="00D31603"/>
    <w:rsid w:val="00D349FD"/>
    <w:rsid w:val="00D35788"/>
    <w:rsid w:val="00D36AF4"/>
    <w:rsid w:val="00D40475"/>
    <w:rsid w:val="00D4360A"/>
    <w:rsid w:val="00D453BB"/>
    <w:rsid w:val="00D45DAE"/>
    <w:rsid w:val="00D51C06"/>
    <w:rsid w:val="00D52BAC"/>
    <w:rsid w:val="00D543D2"/>
    <w:rsid w:val="00D5738A"/>
    <w:rsid w:val="00D57441"/>
    <w:rsid w:val="00D6290A"/>
    <w:rsid w:val="00D63DB5"/>
    <w:rsid w:val="00D80B37"/>
    <w:rsid w:val="00D83E24"/>
    <w:rsid w:val="00D85B20"/>
    <w:rsid w:val="00D90DAB"/>
    <w:rsid w:val="00D93072"/>
    <w:rsid w:val="00D95E5E"/>
    <w:rsid w:val="00DA0517"/>
    <w:rsid w:val="00DA0694"/>
    <w:rsid w:val="00DA0D43"/>
    <w:rsid w:val="00DA2979"/>
    <w:rsid w:val="00DA37DC"/>
    <w:rsid w:val="00DA3E22"/>
    <w:rsid w:val="00DA5310"/>
    <w:rsid w:val="00DA5C47"/>
    <w:rsid w:val="00DB5187"/>
    <w:rsid w:val="00DB7A8A"/>
    <w:rsid w:val="00DC3D01"/>
    <w:rsid w:val="00DC7A13"/>
    <w:rsid w:val="00DC7C9E"/>
    <w:rsid w:val="00DD1241"/>
    <w:rsid w:val="00DD27AE"/>
    <w:rsid w:val="00DD3174"/>
    <w:rsid w:val="00DD376F"/>
    <w:rsid w:val="00DD765A"/>
    <w:rsid w:val="00DD7E63"/>
    <w:rsid w:val="00DE1EC2"/>
    <w:rsid w:val="00DE27DC"/>
    <w:rsid w:val="00DE2A44"/>
    <w:rsid w:val="00DE386B"/>
    <w:rsid w:val="00DE4314"/>
    <w:rsid w:val="00DE6096"/>
    <w:rsid w:val="00DE73FC"/>
    <w:rsid w:val="00DF1AC6"/>
    <w:rsid w:val="00DF6754"/>
    <w:rsid w:val="00DF7376"/>
    <w:rsid w:val="00E004FB"/>
    <w:rsid w:val="00E04AD7"/>
    <w:rsid w:val="00E0763F"/>
    <w:rsid w:val="00E13B9B"/>
    <w:rsid w:val="00E20750"/>
    <w:rsid w:val="00E2095E"/>
    <w:rsid w:val="00E24163"/>
    <w:rsid w:val="00E24192"/>
    <w:rsid w:val="00E24B1E"/>
    <w:rsid w:val="00E24D1C"/>
    <w:rsid w:val="00E26AA9"/>
    <w:rsid w:val="00E33D1A"/>
    <w:rsid w:val="00E37FED"/>
    <w:rsid w:val="00E469B1"/>
    <w:rsid w:val="00E5087E"/>
    <w:rsid w:val="00E52AC8"/>
    <w:rsid w:val="00E60919"/>
    <w:rsid w:val="00E60934"/>
    <w:rsid w:val="00E62FAC"/>
    <w:rsid w:val="00E64F8A"/>
    <w:rsid w:val="00E7121B"/>
    <w:rsid w:val="00E72D1C"/>
    <w:rsid w:val="00E7311D"/>
    <w:rsid w:val="00E7415C"/>
    <w:rsid w:val="00E76138"/>
    <w:rsid w:val="00E80A86"/>
    <w:rsid w:val="00E83246"/>
    <w:rsid w:val="00E849B1"/>
    <w:rsid w:val="00E84C9B"/>
    <w:rsid w:val="00E84D9B"/>
    <w:rsid w:val="00E864F1"/>
    <w:rsid w:val="00E916B0"/>
    <w:rsid w:val="00E961C8"/>
    <w:rsid w:val="00EA03D7"/>
    <w:rsid w:val="00EA6F6F"/>
    <w:rsid w:val="00EB34FB"/>
    <w:rsid w:val="00EC1B43"/>
    <w:rsid w:val="00EC21F4"/>
    <w:rsid w:val="00EC29C8"/>
    <w:rsid w:val="00EC77B0"/>
    <w:rsid w:val="00ED2690"/>
    <w:rsid w:val="00ED3BDA"/>
    <w:rsid w:val="00ED7555"/>
    <w:rsid w:val="00EE4D2F"/>
    <w:rsid w:val="00EF10A7"/>
    <w:rsid w:val="00EF219C"/>
    <w:rsid w:val="00EF4151"/>
    <w:rsid w:val="00F04921"/>
    <w:rsid w:val="00F06A7E"/>
    <w:rsid w:val="00F142A3"/>
    <w:rsid w:val="00F16B88"/>
    <w:rsid w:val="00F2509F"/>
    <w:rsid w:val="00F25AA3"/>
    <w:rsid w:val="00F2720D"/>
    <w:rsid w:val="00F3496A"/>
    <w:rsid w:val="00F362B9"/>
    <w:rsid w:val="00F4170E"/>
    <w:rsid w:val="00F41DA0"/>
    <w:rsid w:val="00F43367"/>
    <w:rsid w:val="00F44741"/>
    <w:rsid w:val="00F44A50"/>
    <w:rsid w:val="00F47115"/>
    <w:rsid w:val="00F50863"/>
    <w:rsid w:val="00F52D56"/>
    <w:rsid w:val="00F558CC"/>
    <w:rsid w:val="00F566F1"/>
    <w:rsid w:val="00F62DF1"/>
    <w:rsid w:val="00F653DA"/>
    <w:rsid w:val="00F6705B"/>
    <w:rsid w:val="00F72CC2"/>
    <w:rsid w:val="00F72DDF"/>
    <w:rsid w:val="00F73CE1"/>
    <w:rsid w:val="00F74E56"/>
    <w:rsid w:val="00F90062"/>
    <w:rsid w:val="00F90626"/>
    <w:rsid w:val="00F91A1E"/>
    <w:rsid w:val="00F92604"/>
    <w:rsid w:val="00F939F8"/>
    <w:rsid w:val="00F93FB8"/>
    <w:rsid w:val="00F9564A"/>
    <w:rsid w:val="00F972CA"/>
    <w:rsid w:val="00FA02A6"/>
    <w:rsid w:val="00FA1789"/>
    <w:rsid w:val="00FA3CB0"/>
    <w:rsid w:val="00FA4CC4"/>
    <w:rsid w:val="00FA5F9A"/>
    <w:rsid w:val="00FA739E"/>
    <w:rsid w:val="00FB1173"/>
    <w:rsid w:val="00FB1B91"/>
    <w:rsid w:val="00FB1EA4"/>
    <w:rsid w:val="00FB2AE6"/>
    <w:rsid w:val="00FB2C9E"/>
    <w:rsid w:val="00FC1B00"/>
    <w:rsid w:val="00FD1EFD"/>
    <w:rsid w:val="00FD2997"/>
    <w:rsid w:val="00FD3C95"/>
    <w:rsid w:val="00FD4925"/>
    <w:rsid w:val="00FD6645"/>
    <w:rsid w:val="00FD7CDC"/>
    <w:rsid w:val="00FE2B30"/>
    <w:rsid w:val="00FE4C88"/>
    <w:rsid w:val="00FE6F21"/>
    <w:rsid w:val="00FF0AF7"/>
    <w:rsid w:val="00FF543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930D9E"/>
  <w15:docId w15:val="{D9E7F349-A3B7-4CBA-9828-280F1ADE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E0863"/>
    <w:pPr>
      <w:keepNext/>
      <w:keepLines/>
      <w:numPr>
        <w:numId w:val="16"/>
      </w:numPr>
      <w:spacing w:before="480" w:after="240"/>
      <w:ind w:left="425" w:hanging="425"/>
      <w:outlineLvl w:val="0"/>
    </w:pPr>
    <w:rPr>
      <w:rFonts w:asciiTheme="minorBidi" w:eastAsiaTheme="majorEastAsia" w:hAnsiTheme="minorBidi"/>
      <w:b/>
      <w:bCs/>
      <w:sz w:val="32"/>
      <w:szCs w:val="32"/>
    </w:rPr>
  </w:style>
  <w:style w:type="paragraph" w:styleId="2">
    <w:name w:val="heading 2"/>
    <w:basedOn w:val="Head2"/>
    <w:next w:val="a"/>
    <w:link w:val="20"/>
    <w:uiPriority w:val="9"/>
    <w:unhideWhenUsed/>
    <w:qFormat/>
    <w:rsid w:val="000A087E"/>
    <w:pPr>
      <w:numPr>
        <w:numId w:val="17"/>
      </w:numPr>
      <w:outlineLvl w:val="1"/>
    </w:pPr>
  </w:style>
  <w:style w:type="paragraph" w:styleId="3">
    <w:name w:val="heading 3"/>
    <w:basedOn w:val="a"/>
    <w:next w:val="a"/>
    <w:link w:val="30"/>
    <w:uiPriority w:val="9"/>
    <w:unhideWhenUsed/>
    <w:qFormat/>
    <w:rsid w:val="00054454"/>
    <w:pPr>
      <w:ind w:left="357" w:hanging="357"/>
      <w:outlineLvl w:val="2"/>
    </w:pPr>
    <w:rPr>
      <w:rFonts w:asciiTheme="minorBidi" w:hAnsiTheme="min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7E4B"/>
    <w:pPr>
      <w:ind w:left="720"/>
      <w:contextualSpacing/>
    </w:pPr>
  </w:style>
  <w:style w:type="paragraph" w:customStyle="1" w:styleId="body">
    <w:name w:val="body"/>
    <w:basedOn w:val="a"/>
    <w:link w:val="bodyChar"/>
    <w:qFormat/>
    <w:rsid w:val="00DE2A44"/>
    <w:rPr>
      <w:rFonts w:asciiTheme="minorBidi" w:hAnsiTheme="minorBidi"/>
      <w:sz w:val="24"/>
      <w:szCs w:val="24"/>
    </w:rPr>
  </w:style>
  <w:style w:type="character" w:customStyle="1" w:styleId="a4">
    <w:name w:val="פיסקת רשימה תו"/>
    <w:basedOn w:val="a0"/>
    <w:link w:val="a3"/>
    <w:uiPriority w:val="34"/>
    <w:rsid w:val="004C7E4B"/>
  </w:style>
  <w:style w:type="paragraph" w:customStyle="1" w:styleId="Head2">
    <w:name w:val="Head2"/>
    <w:basedOn w:val="body"/>
    <w:next w:val="body"/>
    <w:link w:val="Head2Char"/>
    <w:rsid w:val="00F73CE1"/>
    <w:pPr>
      <w:ind w:left="567" w:hanging="567"/>
    </w:pPr>
    <w:rPr>
      <w:b/>
      <w:bCs/>
      <w:sz w:val="28"/>
      <w:szCs w:val="28"/>
    </w:rPr>
  </w:style>
  <w:style w:type="character" w:customStyle="1" w:styleId="bodyChar">
    <w:name w:val="body Char"/>
    <w:basedOn w:val="a0"/>
    <w:link w:val="body"/>
    <w:rsid w:val="00DE2A44"/>
    <w:rPr>
      <w:rFonts w:asciiTheme="minorBidi" w:hAnsiTheme="minorBidi"/>
      <w:sz w:val="24"/>
      <w:szCs w:val="24"/>
    </w:rPr>
  </w:style>
  <w:style w:type="character" w:customStyle="1" w:styleId="Head2Char">
    <w:name w:val="Head2 Char"/>
    <w:basedOn w:val="bodyChar"/>
    <w:link w:val="Head2"/>
    <w:rsid w:val="00F73CE1"/>
    <w:rPr>
      <w:rFonts w:asciiTheme="minorBidi" w:hAnsiTheme="minorBidi"/>
      <w:b/>
      <w:bCs/>
      <w:sz w:val="28"/>
      <w:szCs w:val="28"/>
    </w:rPr>
  </w:style>
  <w:style w:type="paragraph" w:styleId="a5">
    <w:name w:val="header"/>
    <w:basedOn w:val="a"/>
    <w:link w:val="a6"/>
    <w:uiPriority w:val="99"/>
    <w:unhideWhenUsed/>
    <w:rsid w:val="00CD0C08"/>
    <w:pPr>
      <w:tabs>
        <w:tab w:val="center" w:pos="4513"/>
        <w:tab w:val="right" w:pos="9026"/>
      </w:tabs>
      <w:spacing w:after="0" w:line="240" w:lineRule="auto"/>
    </w:pPr>
  </w:style>
  <w:style w:type="character" w:customStyle="1" w:styleId="a6">
    <w:name w:val="כותרת עליונה תו"/>
    <w:basedOn w:val="a0"/>
    <w:link w:val="a5"/>
    <w:uiPriority w:val="99"/>
    <w:rsid w:val="00CD0C08"/>
  </w:style>
  <w:style w:type="paragraph" w:styleId="a7">
    <w:name w:val="footer"/>
    <w:basedOn w:val="a"/>
    <w:link w:val="a8"/>
    <w:uiPriority w:val="99"/>
    <w:unhideWhenUsed/>
    <w:rsid w:val="00CD0C08"/>
    <w:pPr>
      <w:tabs>
        <w:tab w:val="center" w:pos="4513"/>
        <w:tab w:val="right" w:pos="9026"/>
      </w:tabs>
      <w:spacing w:after="0" w:line="240" w:lineRule="auto"/>
    </w:pPr>
  </w:style>
  <w:style w:type="character" w:customStyle="1" w:styleId="a8">
    <w:name w:val="כותרת תחתונה תו"/>
    <w:basedOn w:val="a0"/>
    <w:link w:val="a7"/>
    <w:uiPriority w:val="99"/>
    <w:rsid w:val="00CD0C08"/>
  </w:style>
  <w:style w:type="paragraph" w:styleId="a9">
    <w:name w:val="footnote text"/>
    <w:basedOn w:val="a"/>
    <w:link w:val="aa"/>
    <w:uiPriority w:val="99"/>
    <w:semiHidden/>
    <w:unhideWhenUsed/>
    <w:rsid w:val="00B153A3"/>
    <w:pPr>
      <w:spacing w:after="0" w:line="240" w:lineRule="auto"/>
    </w:pPr>
    <w:rPr>
      <w:sz w:val="20"/>
      <w:szCs w:val="20"/>
    </w:rPr>
  </w:style>
  <w:style w:type="character" w:customStyle="1" w:styleId="aa">
    <w:name w:val="טקסט הערת שוליים תו"/>
    <w:basedOn w:val="a0"/>
    <w:link w:val="a9"/>
    <w:uiPriority w:val="99"/>
    <w:semiHidden/>
    <w:rsid w:val="00B153A3"/>
    <w:rPr>
      <w:sz w:val="20"/>
      <w:szCs w:val="20"/>
    </w:rPr>
  </w:style>
  <w:style w:type="character" w:styleId="ab">
    <w:name w:val="footnote reference"/>
    <w:basedOn w:val="a0"/>
    <w:uiPriority w:val="99"/>
    <w:semiHidden/>
    <w:unhideWhenUsed/>
    <w:rsid w:val="00B153A3"/>
    <w:rPr>
      <w:vertAlign w:val="superscript"/>
    </w:rPr>
  </w:style>
  <w:style w:type="table" w:styleId="ac">
    <w:name w:val="Table Grid"/>
    <w:basedOn w:val="a1"/>
    <w:rsid w:val="00325353"/>
    <w:pPr>
      <w:widowControl w:val="0"/>
      <w:bidi/>
      <w:spacing w:after="0" w:line="240" w:lineRule="auto"/>
    </w:pPr>
    <w:rPr>
      <w:rFonts w:ascii="Times New Roman" w:eastAsia="Times New Roman" w:hAnsi="Times New Roman" w:cs="Miriam"/>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463A9F"/>
    <w:rPr>
      <w:color w:val="0000FF" w:themeColor="hyperlink"/>
      <w:u w:val="single"/>
    </w:rPr>
  </w:style>
  <w:style w:type="paragraph" w:customStyle="1" w:styleId="biblio">
    <w:name w:val="biblio"/>
    <w:basedOn w:val="a"/>
    <w:link w:val="biblioChar"/>
    <w:qFormat/>
    <w:rsid w:val="007E631B"/>
    <w:pPr>
      <w:spacing w:after="120" w:line="240" w:lineRule="auto"/>
      <w:ind w:left="567" w:hanging="499"/>
    </w:pPr>
    <w:rPr>
      <w:rFonts w:asciiTheme="minorBidi" w:hAnsiTheme="minorBidi"/>
    </w:rPr>
  </w:style>
  <w:style w:type="character" w:customStyle="1" w:styleId="biblioChar">
    <w:name w:val="biblio Char"/>
    <w:basedOn w:val="a0"/>
    <w:link w:val="biblio"/>
    <w:rsid w:val="007E631B"/>
    <w:rPr>
      <w:rFonts w:asciiTheme="minorBidi" w:hAnsiTheme="minorBidi"/>
    </w:rPr>
  </w:style>
  <w:style w:type="paragraph" w:styleId="ad">
    <w:name w:val="Balloon Text"/>
    <w:basedOn w:val="a"/>
    <w:link w:val="ae"/>
    <w:uiPriority w:val="99"/>
    <w:semiHidden/>
    <w:unhideWhenUsed/>
    <w:rsid w:val="00DA2979"/>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DA2979"/>
    <w:rPr>
      <w:rFonts w:ascii="Tahoma" w:hAnsi="Tahoma" w:cs="Tahoma"/>
      <w:sz w:val="16"/>
      <w:szCs w:val="16"/>
    </w:rPr>
  </w:style>
  <w:style w:type="character" w:customStyle="1" w:styleId="10">
    <w:name w:val="כותרת 1 תו"/>
    <w:basedOn w:val="a0"/>
    <w:link w:val="1"/>
    <w:uiPriority w:val="9"/>
    <w:rsid w:val="004E0863"/>
    <w:rPr>
      <w:rFonts w:asciiTheme="minorBidi" w:eastAsiaTheme="majorEastAsia" w:hAnsiTheme="minorBidi"/>
      <w:b/>
      <w:bCs/>
      <w:sz w:val="32"/>
      <w:szCs w:val="32"/>
    </w:rPr>
  </w:style>
  <w:style w:type="character" w:customStyle="1" w:styleId="20">
    <w:name w:val="כותרת 2 תו"/>
    <w:basedOn w:val="a0"/>
    <w:link w:val="2"/>
    <w:uiPriority w:val="9"/>
    <w:rsid w:val="000A087E"/>
    <w:rPr>
      <w:rFonts w:asciiTheme="minorBidi" w:hAnsiTheme="minorBidi"/>
      <w:b/>
      <w:bCs/>
      <w:sz w:val="28"/>
      <w:szCs w:val="28"/>
    </w:rPr>
  </w:style>
  <w:style w:type="character" w:customStyle="1" w:styleId="30">
    <w:name w:val="כותרת 3 תו"/>
    <w:basedOn w:val="a0"/>
    <w:link w:val="3"/>
    <w:uiPriority w:val="9"/>
    <w:rsid w:val="00230FB8"/>
    <w:rPr>
      <w:rFonts w:asciiTheme="minorBidi" w:hAnsiTheme="minorBidi"/>
      <w:b/>
      <w:bCs/>
      <w:sz w:val="26"/>
      <w:szCs w:val="26"/>
    </w:rPr>
  </w:style>
  <w:style w:type="paragraph" w:customStyle="1" w:styleId="11">
    <w:name w:val="סגנון1"/>
    <w:basedOn w:val="3"/>
    <w:link w:val="12"/>
    <w:qFormat/>
    <w:rsid w:val="0066245C"/>
    <w:pPr>
      <w:spacing w:after="120"/>
    </w:pPr>
    <w:rPr>
      <w:rFonts w:ascii="Arial" w:hAnsi="Arial" w:cs="Arial"/>
    </w:rPr>
  </w:style>
  <w:style w:type="character" w:customStyle="1" w:styleId="12">
    <w:name w:val="סגנון1 תו"/>
    <w:basedOn w:val="30"/>
    <w:link w:val="11"/>
    <w:rsid w:val="0066245C"/>
    <w:rPr>
      <w:rFonts w:ascii="Arial" w:hAnsi="Arial" w:cs="Arial"/>
      <w:b/>
      <w:bCs/>
      <w:sz w:val="24"/>
      <w:szCs w:val="24"/>
    </w:rPr>
  </w:style>
  <w:style w:type="numbering" w:customStyle="1" w:styleId="Style1">
    <w:name w:val="Style1"/>
    <w:uiPriority w:val="99"/>
    <w:rsid w:val="000A087E"/>
    <w:pPr>
      <w:numPr>
        <w:numId w:val="18"/>
      </w:numPr>
    </w:pPr>
  </w:style>
  <w:style w:type="paragraph" w:styleId="TOC1">
    <w:name w:val="toc 1"/>
    <w:basedOn w:val="a"/>
    <w:next w:val="a"/>
    <w:autoRedefine/>
    <w:uiPriority w:val="39"/>
    <w:unhideWhenUsed/>
    <w:rsid w:val="00F142A3"/>
    <w:pPr>
      <w:spacing w:before="120" w:after="0"/>
    </w:pPr>
    <w:rPr>
      <w:rFonts w:cs="Times New Roman"/>
      <w:b/>
      <w:bCs/>
      <w:i/>
      <w:iCs/>
      <w:sz w:val="24"/>
      <w:szCs w:val="24"/>
    </w:rPr>
  </w:style>
  <w:style w:type="paragraph" w:styleId="TOC2">
    <w:name w:val="toc 2"/>
    <w:basedOn w:val="a"/>
    <w:next w:val="a"/>
    <w:autoRedefine/>
    <w:uiPriority w:val="39"/>
    <w:unhideWhenUsed/>
    <w:rsid w:val="00F142A3"/>
    <w:pPr>
      <w:tabs>
        <w:tab w:val="left" w:pos="660"/>
        <w:tab w:val="right" w:leader="underscore" w:pos="9060"/>
      </w:tabs>
      <w:spacing w:before="120" w:after="0"/>
      <w:ind w:left="220"/>
    </w:pPr>
    <w:rPr>
      <w:rFonts w:ascii="Arial" w:hAnsi="Arial" w:cs="Arial"/>
      <w:noProof/>
      <w:sz w:val="24"/>
      <w:szCs w:val="24"/>
    </w:rPr>
  </w:style>
  <w:style w:type="paragraph" w:styleId="TOC3">
    <w:name w:val="toc 3"/>
    <w:basedOn w:val="a"/>
    <w:next w:val="a"/>
    <w:autoRedefine/>
    <w:uiPriority w:val="39"/>
    <w:unhideWhenUsed/>
    <w:rsid w:val="00F142A3"/>
    <w:pPr>
      <w:spacing w:after="0"/>
      <w:ind w:left="440"/>
    </w:pPr>
    <w:rPr>
      <w:rFonts w:cs="Times New Roman"/>
      <w:sz w:val="20"/>
      <w:szCs w:val="20"/>
    </w:rPr>
  </w:style>
  <w:style w:type="paragraph" w:customStyle="1" w:styleId="text">
    <w:name w:val="text"/>
    <w:basedOn w:val="a"/>
    <w:rsid w:val="00B4150B"/>
    <w:pPr>
      <w:spacing w:before="120" w:after="0" w:line="240" w:lineRule="auto"/>
      <w:ind w:left="680"/>
      <w:jc w:val="both"/>
    </w:pPr>
    <w:rPr>
      <w:rFonts w:ascii="Times New Roman" w:eastAsia="Times New Roman" w:hAnsi="Times New Roman" w:cs="Miriam"/>
      <w:sz w:val="24"/>
      <w:szCs w:val="24"/>
      <w:lang w:val="en-US" w:eastAsia="he-IL"/>
    </w:rPr>
  </w:style>
  <w:style w:type="paragraph" w:styleId="af">
    <w:name w:val="TOC Heading"/>
    <w:basedOn w:val="1"/>
    <w:next w:val="a"/>
    <w:uiPriority w:val="39"/>
    <w:unhideWhenUsed/>
    <w:qFormat/>
    <w:rsid w:val="00DC3D01"/>
    <w:pPr>
      <w:numPr>
        <w:numId w:val="0"/>
      </w:numPr>
      <w:spacing w:before="240" w:after="0" w:line="259" w:lineRule="auto"/>
      <w:outlineLvl w:val="9"/>
    </w:pPr>
    <w:rPr>
      <w:rFonts w:asciiTheme="majorHAnsi" w:hAnsiTheme="majorHAnsi" w:cstheme="majorBidi"/>
      <w:b w:val="0"/>
      <w:bCs w:val="0"/>
      <w:color w:val="365F91" w:themeColor="accent1" w:themeShade="BF"/>
      <w:lang w:val="en-US" w:bidi="ar-SA"/>
    </w:rPr>
  </w:style>
  <w:style w:type="paragraph" w:styleId="TOC4">
    <w:name w:val="toc 4"/>
    <w:basedOn w:val="a"/>
    <w:next w:val="a"/>
    <w:autoRedefine/>
    <w:uiPriority w:val="39"/>
    <w:unhideWhenUsed/>
    <w:rsid w:val="002F17FB"/>
    <w:pPr>
      <w:spacing w:after="0"/>
      <w:ind w:left="660"/>
    </w:pPr>
    <w:rPr>
      <w:rFonts w:cs="Times New Roman"/>
      <w:sz w:val="20"/>
      <w:szCs w:val="20"/>
    </w:rPr>
  </w:style>
  <w:style w:type="paragraph" w:styleId="TOC5">
    <w:name w:val="toc 5"/>
    <w:basedOn w:val="a"/>
    <w:next w:val="a"/>
    <w:autoRedefine/>
    <w:uiPriority w:val="39"/>
    <w:unhideWhenUsed/>
    <w:rsid w:val="002F17FB"/>
    <w:pPr>
      <w:spacing w:after="0"/>
      <w:ind w:left="880"/>
    </w:pPr>
    <w:rPr>
      <w:rFonts w:cs="Times New Roman"/>
      <w:sz w:val="20"/>
      <w:szCs w:val="20"/>
    </w:rPr>
  </w:style>
  <w:style w:type="paragraph" w:styleId="TOC6">
    <w:name w:val="toc 6"/>
    <w:basedOn w:val="a"/>
    <w:next w:val="a"/>
    <w:autoRedefine/>
    <w:uiPriority w:val="39"/>
    <w:unhideWhenUsed/>
    <w:rsid w:val="002F17FB"/>
    <w:pPr>
      <w:spacing w:after="0"/>
      <w:ind w:left="1100"/>
    </w:pPr>
    <w:rPr>
      <w:rFonts w:cs="Times New Roman"/>
      <w:sz w:val="20"/>
      <w:szCs w:val="20"/>
    </w:rPr>
  </w:style>
  <w:style w:type="paragraph" w:styleId="TOC7">
    <w:name w:val="toc 7"/>
    <w:basedOn w:val="a"/>
    <w:next w:val="a"/>
    <w:autoRedefine/>
    <w:uiPriority w:val="39"/>
    <w:unhideWhenUsed/>
    <w:rsid w:val="002F17FB"/>
    <w:pPr>
      <w:spacing w:after="0"/>
      <w:ind w:left="1320"/>
    </w:pPr>
    <w:rPr>
      <w:rFonts w:cs="Times New Roman"/>
      <w:sz w:val="20"/>
      <w:szCs w:val="20"/>
    </w:rPr>
  </w:style>
  <w:style w:type="paragraph" w:styleId="TOC8">
    <w:name w:val="toc 8"/>
    <w:basedOn w:val="a"/>
    <w:next w:val="a"/>
    <w:autoRedefine/>
    <w:uiPriority w:val="39"/>
    <w:unhideWhenUsed/>
    <w:rsid w:val="002F17FB"/>
    <w:pPr>
      <w:spacing w:after="0"/>
      <w:ind w:left="1540"/>
    </w:pPr>
    <w:rPr>
      <w:rFonts w:cs="Times New Roman"/>
      <w:sz w:val="20"/>
      <w:szCs w:val="20"/>
    </w:rPr>
  </w:style>
  <w:style w:type="paragraph" w:styleId="TOC9">
    <w:name w:val="toc 9"/>
    <w:basedOn w:val="a"/>
    <w:next w:val="a"/>
    <w:autoRedefine/>
    <w:uiPriority w:val="39"/>
    <w:unhideWhenUsed/>
    <w:rsid w:val="002F17FB"/>
    <w:pPr>
      <w:spacing w:after="0"/>
      <w:ind w:left="1760"/>
    </w:pPr>
    <w:rPr>
      <w:rFonts w:cs="Times New Roman"/>
      <w:sz w:val="20"/>
      <w:szCs w:val="20"/>
    </w:rPr>
  </w:style>
  <w:style w:type="character" w:styleId="af0">
    <w:name w:val="Unresolved Mention"/>
    <w:basedOn w:val="a0"/>
    <w:uiPriority w:val="99"/>
    <w:semiHidden/>
    <w:unhideWhenUsed/>
    <w:rsid w:val="00E849B1"/>
    <w:rPr>
      <w:color w:val="605E5C"/>
      <w:shd w:val="clear" w:color="auto" w:fill="E1DFDD"/>
    </w:rPr>
  </w:style>
  <w:style w:type="character" w:styleId="af1">
    <w:name w:val="annotation reference"/>
    <w:basedOn w:val="a0"/>
    <w:uiPriority w:val="99"/>
    <w:semiHidden/>
    <w:unhideWhenUsed/>
    <w:rsid w:val="00DC7A13"/>
    <w:rPr>
      <w:sz w:val="16"/>
      <w:szCs w:val="16"/>
    </w:rPr>
  </w:style>
  <w:style w:type="paragraph" w:styleId="af2">
    <w:name w:val="annotation text"/>
    <w:basedOn w:val="a"/>
    <w:link w:val="af3"/>
    <w:uiPriority w:val="99"/>
    <w:semiHidden/>
    <w:unhideWhenUsed/>
    <w:rsid w:val="00DC7A13"/>
    <w:pPr>
      <w:spacing w:line="240" w:lineRule="auto"/>
    </w:pPr>
    <w:rPr>
      <w:sz w:val="20"/>
      <w:szCs w:val="20"/>
    </w:rPr>
  </w:style>
  <w:style w:type="character" w:customStyle="1" w:styleId="af3">
    <w:name w:val="טקסט הערה תו"/>
    <w:basedOn w:val="a0"/>
    <w:link w:val="af2"/>
    <w:uiPriority w:val="99"/>
    <w:semiHidden/>
    <w:rsid w:val="00DC7A13"/>
    <w:rPr>
      <w:sz w:val="20"/>
      <w:szCs w:val="20"/>
    </w:rPr>
  </w:style>
  <w:style w:type="paragraph" w:styleId="af4">
    <w:name w:val="annotation subject"/>
    <w:basedOn w:val="af2"/>
    <w:next w:val="af2"/>
    <w:link w:val="af5"/>
    <w:uiPriority w:val="99"/>
    <w:semiHidden/>
    <w:unhideWhenUsed/>
    <w:rsid w:val="00DC7A13"/>
    <w:rPr>
      <w:b/>
      <w:bCs/>
    </w:rPr>
  </w:style>
  <w:style w:type="character" w:customStyle="1" w:styleId="af5">
    <w:name w:val="נושא הערה תו"/>
    <w:basedOn w:val="af3"/>
    <w:link w:val="af4"/>
    <w:uiPriority w:val="99"/>
    <w:semiHidden/>
    <w:rsid w:val="00DC7A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5.wmf"/><Relationship Id="rId25" Type="http://schemas.openxmlformats.org/officeDocument/2006/relationships/image" Target="media/image13.wmf"/><Relationship Id="rId29" Type="http://schemas.openxmlformats.org/officeDocument/2006/relationships/theme" Target="theme/theme1.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wmf"/><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776BC5533B746B4DA895265925393F0F" ma:contentTypeVersion="71" ma:contentTypeDescription="צור מסמך חדש." ma:contentTypeScope="" ma:versionID="7ca5ce3d0750914ae63789eb0dfc25c5">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ed83c183ece841bf7105d4291898fbd3"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1:ArticleStartDate" minOccurs="0"/>
                <xsd:element ref="ns1:VariationsItemGroupID" minOccurs="0"/>
                <xsd:element ref="ns1:AverageRating" minOccurs="0"/>
                <xsd:element ref="ns1:RatingCount" minOccurs="0"/>
                <xsd:element ref="ns1:RatedBy" minOccurs="0"/>
                <xsd:element ref="ns1:Ratings" minOccurs="0"/>
                <xsd:element ref="ns1:LikesCount" minOccurs="0"/>
                <xsd:element ref="ns1:LikedBy" minOccurs="0"/>
                <xsd:element ref="ns2:CbsMadadPublish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4"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element name="VariationsItemGroupID" ma:index="35" nillable="true" ma:displayName="מזהה קבוצת פריטים" ma:description="" ma:hidden="true" ma:internalName="VariationsItemGroupID">
      <xsd:simpleType>
        <xsd:restriction base="dms:Unknown"/>
      </xsd:simpleType>
    </xsd:element>
    <xsd:element name="AverageRating" ma:index="36" nillable="true" ma:displayName="דירוג (0-5)" ma:decimals="2" ma:description="הערך הממוצע של כל הדירוגים שנשלחו" ma:internalName="AverageRating" ma:readOnly="true">
      <xsd:simpleType>
        <xsd:restriction base="dms:Number"/>
      </xsd:simpleType>
    </xsd:element>
    <xsd:element name="RatingCount" ma:index="37" nillable="true" ma:displayName="מספר דירוגים" ma:decimals="0" ma:description="מספר דירוגים שנשלחו" ma:internalName="RatingCount" ma:readOnly="true">
      <xsd:simpleType>
        <xsd:restriction base="dms:Number"/>
      </xsd:simpleType>
    </xsd:element>
    <xsd:element name="RatedBy" ma:index="38" nillable="true" ma:displayName="דורג על-ידי" ma:description="המשתמשים שדירגו את הפריט."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9" nillable="true" ma:displayName="דירוגי משתמשים" ma:description="דירוגי משתמשים עבור הפריט" ma:hidden="true" ma:internalName="Ratings">
      <xsd:simpleType>
        <xsd:restriction base="dms:Note"/>
      </xsd:simpleType>
    </xsd:element>
    <xsd:element name="LikesCount" ma:index="40" nillable="true" ma:displayName="מספר הערות 'אהבתי'" ma:internalName="LikesCount">
      <xsd:simpleType>
        <xsd:restriction base="dms:Unknown"/>
      </xsd:simpleType>
    </xsd:element>
    <xsd:element name="LikedBy" ma:index="41" nillable="true" ma:displayName="נוספה הערת 'אהבתי' על-ידי"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42" nillable="true" ma:displayName="תאריך הצגה" ma:internalName="CbsMadadPublish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bsDataSource xmlns="f37fff55-d014-472b-b062-823f736a4040" xsi:nil="true"/>
    <CbsDocArticleVariationRelUrlEng xmlns="f37fff55-d014-472b-b062-823f736a4040" xsi:nil="true"/>
    <LikesCount xmlns="http://schemas.microsoft.com/sharepoint/v3" xsi:nil="true"/>
    <CbsDocArticleVariationRelUrl xmlns="f37fff55-d014-472b-b062-823f736a4040">/he/publications/Pages/2019/מדד-פריפריאליות-של-יישובים-ושל-רשויות-מקומיות-2015.aspx</CbsDocArticleVariationRelUrl>
    <PublishingRollupImage xmlns="http://schemas.microsoft.com/sharepoint/v3" xsi:nil="true"/>
    <CbsOrderField xmlns="f37fff55-d014-472b-b062-823f736a4040">2</CbsOrderField>
    <CbsPublishingDocChapter xmlns="f37fff55-d014-472b-b062-823f736a4040" xsi:nil="true"/>
    <Ratings xmlns="http://schemas.microsoft.com/sharepoint/v3" xsi:nil="true"/>
    <CbsHide xmlns="f37fff55-d014-472b-b062-823f736a4040" xsi:nil="true"/>
    <CbsEnglishTitle xmlns="f37fff55-d014-472b-b062-823f736a4040">Introduction</CbsEnglishTitle>
    <CbsPublishingDocSubjectEng xmlns="f37fff55-d014-472b-b062-823f736a4040" xsi:nil="true"/>
    <CbsPublishingDocChapterEng xmlns="f37fff55-d014-472b-b062-823f736a4040">Preface; INTRODUCTION; Appendix; Explanatory Notes; Credits</CbsPublishingDocChapterEng>
    <ArticleStartDate xmlns="http://schemas.microsoft.com/sharepoint/v3" xsi:nil="true"/>
    <VariationsItemGroupID xmlns="http://schemas.microsoft.com/sharepoint/v3">d3b5eb64-909b-402e-b556-42d2a271d75d</VariationsItemGroupID>
    <LikedBy xmlns="http://schemas.microsoft.com/sharepoint/v3">
      <UserInfo>
        <DisplayName/>
        <AccountId xsi:nil="true"/>
        <AccountType/>
      </UserInfo>
    </LikedBy>
    <CbsDataPublishDate xmlns="f37fff55-d014-472b-b062-823f736a4040" xsi:nil="tru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badce114fb994f27a777030e336d1efa>
    <RatedBy xmlns="http://schemas.microsoft.com/sharepoint/v3">
      <UserInfo>
        <DisplayName/>
        <AccountId xsi:nil="true"/>
        <AccountType/>
      </UserInfo>
    </RatedBy>
    <CbsMadadPublishDate xmlns="f37fff55-d014-472b-b062-823f736a4040" xsi:nil="true"/>
    <CbsPublishingDocChapterAr xmlns="f37fff55-d014-472b-b062-823f736a40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776BC5533B746B4DA895265925393F0F" ma:contentTypeVersion="71" ma:contentTypeDescription="צור מסמך חדש." ma:contentTypeScope="" ma:versionID="b328d4120dd6db4c5e101f038c25280f">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d6fc527e13d98d398598233623a95cb5"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1:ArticleStartDate" minOccurs="0"/>
                <xsd:element ref="ns1:VariationsItemGroupID" minOccurs="0"/>
                <xsd:element ref="ns1:AverageRating" minOccurs="0"/>
                <xsd:element ref="ns1:RatingCount" minOccurs="0"/>
                <xsd:element ref="ns1:RatedBy" minOccurs="0"/>
                <xsd:element ref="ns1:Ratings" minOccurs="0"/>
                <xsd:element ref="ns1:LikesCount" minOccurs="0"/>
                <xsd:element ref="ns1:LikedBy" minOccurs="0"/>
                <xsd:element ref="ns2:CbsMadadPublish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4"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element name="VariationsItemGroupID" ma:index="35" nillable="true" ma:displayName="מזהה קבוצת פריטים" ma:description="" ma:hidden="true" ma:internalName="VariationsItemGroupID">
      <xsd:simpleType>
        <xsd:restriction base="dms:Unknown"/>
      </xsd:simpleType>
    </xsd:element>
    <xsd:element name="AverageRating" ma:index="36" nillable="true" ma:displayName="דירוג (0-5)" ma:decimals="2" ma:description="הערך הממוצע של כל הדירוגים שנשלחו" ma:internalName="AverageRating" ma:readOnly="true">
      <xsd:simpleType>
        <xsd:restriction base="dms:Number"/>
      </xsd:simpleType>
    </xsd:element>
    <xsd:element name="RatingCount" ma:index="37" nillable="true" ma:displayName="מספר דירוגים" ma:decimals="0" ma:description="מספר דירוגים שנשלחו" ma:internalName="RatingCount" ma:readOnly="true">
      <xsd:simpleType>
        <xsd:restriction base="dms:Number"/>
      </xsd:simpleType>
    </xsd:element>
    <xsd:element name="RatedBy" ma:index="38" nillable="true" ma:displayName="דורג על-ידי" ma:description="המשתמשים שדירגו את הפריט."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9" nillable="true" ma:displayName="דירוגי משתמשים" ma:description="דירוגי משתמשים עבור הפריט" ma:hidden="true" ma:internalName="Ratings">
      <xsd:simpleType>
        <xsd:restriction base="dms:Note"/>
      </xsd:simpleType>
    </xsd:element>
    <xsd:element name="LikesCount" ma:index="40" nillable="true" ma:displayName="מספר הערות 'אהבתי'" ma:internalName="LikesCount">
      <xsd:simpleType>
        <xsd:restriction base="dms:Unknown"/>
      </xsd:simpleType>
    </xsd:element>
    <xsd:element name="LikedBy" ma:index="41" nillable="true" ma:displayName="נוספה הערת 'אהבתי' על-ידי"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42" nillable="true" ma:displayName="תאריך הצגה" ma:internalName="CbsMadadPublishDate" ma:readOnly="false">
      <xsd:simpleType>
        <xsd:restriction base="dms:DateTime"/>
      </xsd:simpleType>
    </xsd:element>
    <xsd:element name="CbsPublishingDocChapterAr" ma:index="43"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D5CF3-0B60-4E3E-A8A0-8E7CFE42DF09}"/>
</file>

<file path=customXml/itemProps2.xml><?xml version="1.0" encoding="utf-8"?>
<ds:datastoreItem xmlns:ds="http://schemas.openxmlformats.org/officeDocument/2006/customXml" ds:itemID="{FA149F8F-BFFF-4DE2-A8DB-EBB1AC726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7fff55-d014-472b-b062-823f736a4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7B0CB-FF13-4AF7-9666-A74A8CD83C9E}"/>
</file>

<file path=customXml/itemProps4.xml><?xml version="1.0" encoding="utf-8"?>
<ds:datastoreItem xmlns:ds="http://schemas.openxmlformats.org/officeDocument/2006/customXml" ds:itemID="{0DCC12C3-000A-4E13-AD78-26638FA0D16F}"/>
</file>

<file path=customXml/itemProps5.xml><?xml version="1.0" encoding="utf-8"?>
<ds:datastoreItem xmlns:ds="http://schemas.openxmlformats.org/officeDocument/2006/customXml" ds:itemID="{9A55143A-AB95-4187-9F7D-0D70660683E1}"/>
</file>

<file path=docProps/app.xml><?xml version="1.0" encoding="utf-8"?>
<Properties xmlns="http://schemas.openxmlformats.org/officeDocument/2006/extended-properties" xmlns:vt="http://schemas.openxmlformats.org/officeDocument/2006/docPropsVTypes">
  <Template>Normal</Template>
  <TotalTime>21</TotalTime>
  <Pages>26</Pages>
  <Words>9353</Words>
  <Characters>46768</Characters>
  <Application>Microsoft Office Word</Application>
  <DocSecurity>0</DocSecurity>
  <Lines>389</Lines>
  <Paragraphs>112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cbs</Company>
  <LinksUpToDate>false</LinksUpToDate>
  <CharactersWithSpaces>56009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Aliza Berger-Cooper</dc:creator>
  <cp:lastModifiedBy>Moriya Har Tuv Madar</cp:lastModifiedBy>
  <cp:revision>7</cp:revision>
  <cp:lastPrinted>2023-02-20T15:56:00Z</cp:lastPrinted>
  <dcterms:created xsi:type="dcterms:W3CDTF">2023-11-01T06:28:00Z</dcterms:created>
  <dcterms:modified xsi:type="dcterms:W3CDTF">2023-11-01T06:49:00Z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0x01010018C65C5FFA1A411CB733A36D5E05D176005EC8771B28134F43A3AE7296363CCDAA00776BC5533B746B4DA895265925393F0F</vt:lpwstr>
  </property>
  <property fmtid="{D5CDD505-2E9C-101B-9397-08002B2CF9AE}" pid="3" name="nfa41555e3464cf4bb914e89b71e6bff">
    <vt:lpwstr/>
  </property>
  <property fmtid="{D5CDD505-2E9C-101B-9397-08002B2CF9AE}" pid="4" name="k996ec15d8b84c25ab4ba497b8126068">
    <vt:lpwstr/>
  </property>
  <property fmtid="{D5CDD505-2E9C-101B-9397-08002B2CF9AE}" pid="5" name="CbsMMDSurveys">
    <vt:lpwstr/>
  </property>
  <property fmtid="{D5CDD505-2E9C-101B-9397-08002B2CF9AE}" pid="6" name="CbsMMDPublisher">
    <vt:lpwstr/>
  </property>
  <property fmtid="{D5CDD505-2E9C-101B-9397-08002B2CF9AE}" pid="7" name="le6ae3b316d345348c5a7081083b5f17">
    <vt:lpwstr/>
  </property>
  <property fmtid="{D5CDD505-2E9C-101B-9397-08002B2CF9AE}" pid="8" name="CbsMMDGatheringMethod">
    <vt:lpwstr/>
  </property>
  <property fmtid="{D5CDD505-2E9C-101B-9397-08002B2CF9AE}" pid="9" name="CbsMMDLanguages">
    <vt:lpwstr>23;#אנגלית|bcd2f785-9433-481a-8dea-af8b5faa5f5c</vt:lpwstr>
  </property>
  <property fmtid="{D5CDD505-2E9C-101B-9397-08002B2CF9AE}" pid="10" name="CbsMMDInterval">
    <vt:lpwstr>132;#שנתי|3aa65854-6eee-4c18-bea6-a232fd3cf6c6</vt:lpwstr>
  </property>
  <property fmtid="{D5CDD505-2E9C-101B-9397-08002B2CF9AE}" pid="11" name="d8f60aace6e84187b9d8167da15a966c">
    <vt:lpwstr/>
  </property>
  <property fmtid="{D5CDD505-2E9C-101B-9397-08002B2CF9AE}" pid="12" name="CbsMMDGeoDistribution">
    <vt:lpwstr/>
  </property>
  <property fmtid="{D5CDD505-2E9C-101B-9397-08002B2CF9AE}" pid="13" name="e963c9d311ab4da3b6cbc837a17bbe40">
    <vt:lpwstr/>
  </property>
  <property fmtid="{D5CDD505-2E9C-101B-9397-08002B2CF9AE}" pid="14" name="TaxCatchAll">
    <vt:lpwstr>20;#טקסט|6afc90bb-2096-4fe7-a037-cf2ddfa16a72;#23;#אנגלית|bcd2f785-9433-481a-8dea-af8b5faa5f5c;#132;#שנתי|3aa65854-6eee-4c18-bea6-a232fd3cf6c6</vt:lpwstr>
  </property>
  <property fmtid="{D5CDD505-2E9C-101B-9397-08002B2CF9AE}" pid="15" name="jb05328652cd4d188b8237060e08f6a6">
    <vt:lpwstr>טקסט|6afc90bb-2096-4fe7-a037-cf2ddfa16a72</vt:lpwstr>
  </property>
  <property fmtid="{D5CDD505-2E9C-101B-9397-08002B2CF9AE}" pid="16" name="CbsMMDItemType">
    <vt:lpwstr>20;#טקסט|6afc90bb-2096-4fe7-a037-cf2ddfa16a72</vt:lpwstr>
  </property>
  <property fmtid="{D5CDD505-2E9C-101B-9397-08002B2CF9AE}" pid="17" name="CbsMMDSettlements">
    <vt:lpwstr/>
  </property>
  <property fmtid="{D5CDD505-2E9C-101B-9397-08002B2CF9AE}" pid="18" name="fa130405dbd9451c89aaf40a75fe388c">
    <vt:lpwstr/>
  </property>
  <property fmtid="{D5CDD505-2E9C-101B-9397-08002B2CF9AE}" pid="19" name="be7e4c0a87744fda8f9ec475d0d5383d">
    <vt:lpwstr/>
  </property>
  <property fmtid="{D5CDD505-2E9C-101B-9397-08002B2CF9AE}" pid="20" name="o2494bd4375f452fad1b646d6a811f44">
    <vt:lpwstr>שנתי|3aa65854-6eee-4c18-bea6-a232fd3cf6c6</vt:lpwstr>
  </property>
  <property fmtid="{D5CDD505-2E9C-101B-9397-08002B2CF9AE}" pid="21" name="CbsMMDSubjects">
    <vt:lpwstr/>
  </property>
  <property fmtid="{D5CDD505-2E9C-101B-9397-08002B2CF9AE}" pid="22" name="CbsMMDLicense">
    <vt:lpwstr/>
  </property>
  <property fmtid="{D5CDD505-2E9C-101B-9397-08002B2CF9AE}" pid="23" name="d26306ee4df449b8a93fe89c272330c7">
    <vt:lpwstr/>
  </property>
  <property fmtid="{D5CDD505-2E9C-101B-9397-08002B2CF9AE}" pid="24" name="l2e12a95055c425a9be399caf84ebe5f">
    <vt:lpwstr>אנגלית|bcd2f785-9433-481a-8dea-af8b5faa5f5c</vt:lpwstr>
  </property>
  <property fmtid="{D5CDD505-2E9C-101B-9397-08002B2CF9AE}" pid="25" name="CbsMMDGlobalSubjects">
    <vt:lpwstr/>
  </property>
  <property fmtid="{D5CDD505-2E9C-101B-9397-08002B2CF9AE}" pid="26" name="CbsMMDForPublicationCSB">
    <vt:lpwstr/>
  </property>
  <property fmtid="{D5CDD505-2E9C-101B-9397-08002B2CF9AE}" pid="27" name="Order">
    <vt:r8>41936600</vt:r8>
  </property>
  <property fmtid="{D5CDD505-2E9C-101B-9397-08002B2CF9AE}" pid="28" name="CbsSecondaryTextField">
    <vt:lpwstr/>
  </property>
</Properties>
</file>